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AF" w:rsidRPr="007D6BAF" w:rsidRDefault="007D6BAF" w:rsidP="007D6B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BAF">
        <w:rPr>
          <w:rFonts w:ascii="Times New Roman" w:eastAsia="Times New Roman" w:hAnsi="Times New Roman" w:cs="Times New Roman"/>
          <w:b/>
          <w:bCs/>
          <w:kern w:val="36"/>
          <w:sz w:val="48"/>
          <w:szCs w:val="48"/>
        </w:rPr>
        <w:t xml:space="preserve">IRVING INDEPENDENT SCHOOL DISTRICT, Petitioner v. Henri TATRO, </w:t>
      </w:r>
      <w:proofErr w:type="gramStart"/>
      <w:r w:rsidRPr="007D6BAF">
        <w:rPr>
          <w:rFonts w:ascii="Times New Roman" w:eastAsia="Times New Roman" w:hAnsi="Times New Roman" w:cs="Times New Roman"/>
          <w:b/>
          <w:bCs/>
          <w:kern w:val="36"/>
          <w:sz w:val="48"/>
          <w:szCs w:val="48"/>
        </w:rPr>
        <w:t>et</w:t>
      </w:r>
      <w:proofErr w:type="gramEnd"/>
      <w:r w:rsidRPr="007D6BAF">
        <w:rPr>
          <w:rFonts w:ascii="Times New Roman" w:eastAsia="Times New Roman" w:hAnsi="Times New Roman" w:cs="Times New Roman"/>
          <w:b/>
          <w:bCs/>
          <w:kern w:val="36"/>
          <w:sz w:val="48"/>
          <w:szCs w:val="48"/>
        </w:rPr>
        <w:t xml:space="preserve"> ux., individually and as next Friend of Amber </w:t>
      </w:r>
      <w:proofErr w:type="spellStart"/>
      <w:r w:rsidRPr="007D6BAF">
        <w:rPr>
          <w:rFonts w:ascii="Times New Roman" w:eastAsia="Times New Roman" w:hAnsi="Times New Roman" w:cs="Times New Roman"/>
          <w:b/>
          <w:bCs/>
          <w:kern w:val="36"/>
          <w:sz w:val="48"/>
          <w:szCs w:val="48"/>
        </w:rPr>
        <w:t>Tatro</w:t>
      </w:r>
      <w:proofErr w:type="spellEnd"/>
      <w:r w:rsidRPr="007D6BAF">
        <w:rPr>
          <w:rFonts w:ascii="Times New Roman" w:eastAsia="Times New Roman" w:hAnsi="Times New Roman" w:cs="Times New Roman"/>
          <w:b/>
          <w:bCs/>
          <w:kern w:val="36"/>
          <w:sz w:val="48"/>
          <w:szCs w:val="48"/>
        </w:rPr>
        <w:t>, a minor.</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bookmarkStart w:id="0" w:name="topTOC"/>
      <w:bookmarkEnd w:id="0"/>
      <w:r w:rsidRPr="007D6BAF">
        <w:rPr>
          <w:rFonts w:ascii="Times New Roman" w:eastAsia="Times New Roman" w:hAnsi="Times New Roman" w:cs="Times New Roman"/>
          <w:b/>
          <w:bCs/>
          <w:sz w:val="24"/>
          <w:szCs w:val="24"/>
        </w:rPr>
        <w:t>468 U.S. 883</w:t>
      </w:r>
      <w:r w:rsidRPr="007D6BAF">
        <w:rPr>
          <w:rFonts w:ascii="Times New Roman" w:eastAsia="Times New Roman" w:hAnsi="Times New Roman" w:cs="Times New Roman"/>
          <w:sz w:val="24"/>
          <w:szCs w:val="24"/>
        </w:rPr>
        <w:t xml:space="preserve"> (104 </w:t>
      </w:r>
      <w:proofErr w:type="spellStart"/>
      <w:r w:rsidRPr="007D6BAF">
        <w:rPr>
          <w:rFonts w:ascii="Times New Roman" w:eastAsia="Times New Roman" w:hAnsi="Times New Roman" w:cs="Times New Roman"/>
          <w:sz w:val="24"/>
          <w:szCs w:val="24"/>
        </w:rPr>
        <w:t>S.Ct</w:t>
      </w:r>
      <w:proofErr w:type="spellEnd"/>
      <w:r w:rsidRPr="007D6BAF">
        <w:rPr>
          <w:rFonts w:ascii="Times New Roman" w:eastAsia="Times New Roman" w:hAnsi="Times New Roman" w:cs="Times New Roman"/>
          <w:sz w:val="24"/>
          <w:szCs w:val="24"/>
        </w:rPr>
        <w:t xml:space="preserve">. 3371, 82 L.Ed.2d 664)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IRVING INDEPENDENT SCHOOL DISTRICT, Petitioner v. Henri TATRO, et ux., individually and as next Friend of Amber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a minor.</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No. 83-558.</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Argued: April 16, 1984.</w:t>
      </w:r>
      <w:proofErr w:type="gramEnd"/>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Decided: July 5, 1984.</w:t>
      </w:r>
      <w:proofErr w:type="gramEnd"/>
    </w:p>
    <w:p w:rsidR="007D6BAF" w:rsidRPr="007D6BAF" w:rsidRDefault="007D6BAF" w:rsidP="007D6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b/>
          <w:bCs/>
          <w:sz w:val="24"/>
          <w:szCs w:val="24"/>
        </w:rPr>
        <w:t>opinion</w:t>
      </w:r>
      <w:r w:rsidRPr="007D6BAF">
        <w:rPr>
          <w:rFonts w:ascii="Times New Roman" w:eastAsia="Times New Roman" w:hAnsi="Times New Roman" w:cs="Times New Roman"/>
          <w:sz w:val="24"/>
          <w:szCs w:val="24"/>
        </w:rPr>
        <w:t xml:space="preserve">, BURGER </w:t>
      </w:r>
      <w:hyperlink r:id="rId5" w:anchor="writing-type-1-BURGER" w:history="1">
        <w:r w:rsidRPr="007D6BAF">
          <w:rPr>
            <w:rFonts w:ascii="Times New Roman" w:eastAsia="Times New Roman" w:hAnsi="Times New Roman" w:cs="Times New Roman"/>
            <w:color w:val="0000FF"/>
            <w:sz w:val="24"/>
            <w:szCs w:val="24"/>
            <w:u w:val="single"/>
          </w:rPr>
          <w:t xml:space="preserve">[HTML] </w:t>
        </w:r>
      </w:hyperlink>
    </w:p>
    <w:p w:rsidR="007D6BAF" w:rsidRPr="007D6BAF" w:rsidRDefault="007D6BAF" w:rsidP="007D6BA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6BAF">
        <w:rPr>
          <w:rFonts w:ascii="Times New Roman" w:eastAsia="Times New Roman" w:hAnsi="Times New Roman" w:cs="Times New Roman"/>
          <w:b/>
          <w:bCs/>
          <w:sz w:val="24"/>
          <w:szCs w:val="24"/>
        </w:rPr>
        <w:t>conc_diss</w:t>
      </w:r>
      <w:proofErr w:type="spellEnd"/>
      <w:r w:rsidRPr="007D6BAF">
        <w:rPr>
          <w:rFonts w:ascii="Times New Roman" w:eastAsia="Times New Roman" w:hAnsi="Times New Roman" w:cs="Times New Roman"/>
          <w:sz w:val="24"/>
          <w:szCs w:val="24"/>
        </w:rPr>
        <w:t xml:space="preserve">, BRENNAN, MARSHALL </w:t>
      </w:r>
      <w:hyperlink r:id="rId6" w:anchor="writing-type-12-BRENNANMARSHALL" w:history="1">
        <w:r w:rsidRPr="007D6BAF">
          <w:rPr>
            <w:rFonts w:ascii="Times New Roman" w:eastAsia="Times New Roman" w:hAnsi="Times New Roman" w:cs="Times New Roman"/>
            <w:color w:val="0000FF"/>
            <w:sz w:val="24"/>
            <w:szCs w:val="24"/>
            <w:u w:val="single"/>
          </w:rPr>
          <w:t xml:space="preserve">[HTML] </w:t>
        </w:r>
      </w:hyperlink>
    </w:p>
    <w:p w:rsidR="007D6BAF" w:rsidRPr="007D6BAF" w:rsidRDefault="007D6BAF" w:rsidP="007D6BA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6BAF">
        <w:rPr>
          <w:rFonts w:ascii="Times New Roman" w:eastAsia="Times New Roman" w:hAnsi="Times New Roman" w:cs="Times New Roman"/>
          <w:b/>
          <w:bCs/>
          <w:sz w:val="24"/>
          <w:szCs w:val="24"/>
        </w:rPr>
        <w:t>conc_diss</w:t>
      </w:r>
      <w:proofErr w:type="spellEnd"/>
      <w:r w:rsidRPr="007D6BAF">
        <w:rPr>
          <w:rFonts w:ascii="Times New Roman" w:eastAsia="Times New Roman" w:hAnsi="Times New Roman" w:cs="Times New Roman"/>
          <w:sz w:val="24"/>
          <w:szCs w:val="24"/>
        </w:rPr>
        <w:t xml:space="preserve">, STEVENS </w:t>
      </w:r>
      <w:hyperlink r:id="rId7" w:anchor="writing-type-12-STEVENS" w:history="1">
        <w:r w:rsidRPr="007D6BAF">
          <w:rPr>
            <w:rFonts w:ascii="Times New Roman" w:eastAsia="Times New Roman" w:hAnsi="Times New Roman" w:cs="Times New Roman"/>
            <w:color w:val="0000FF"/>
            <w:sz w:val="24"/>
            <w:szCs w:val="24"/>
            <w:u w:val="single"/>
          </w:rPr>
          <w:t xml:space="preserve">[HTML] </w:t>
        </w:r>
      </w:hyperlink>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Syllabus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Respondents' 8-year-old daughter was born with a defect known as </w:t>
      </w:r>
      <w:proofErr w:type="spellStart"/>
      <w:r w:rsidRPr="007D6BAF">
        <w:rPr>
          <w:rFonts w:ascii="Times New Roman" w:eastAsia="Times New Roman" w:hAnsi="Times New Roman" w:cs="Times New Roman"/>
          <w:sz w:val="24"/>
          <w:szCs w:val="24"/>
        </w:rPr>
        <w:t>spina</w:t>
      </w:r>
      <w:proofErr w:type="spellEnd"/>
      <w:r w:rsidRPr="007D6BAF">
        <w:rPr>
          <w:rFonts w:ascii="Times New Roman" w:eastAsia="Times New Roman" w:hAnsi="Times New Roman" w:cs="Times New Roman"/>
          <w:sz w:val="24"/>
          <w:szCs w:val="24"/>
        </w:rPr>
        <w:t xml:space="preserve"> bifida. As a result she suffers from orthopedic and speech impairments and a </w:t>
      </w:r>
      <w:proofErr w:type="spellStart"/>
      <w:r w:rsidRPr="007D6BAF">
        <w:rPr>
          <w:rFonts w:ascii="Times New Roman" w:eastAsia="Times New Roman" w:hAnsi="Times New Roman" w:cs="Times New Roman"/>
          <w:sz w:val="24"/>
          <w:szCs w:val="24"/>
        </w:rPr>
        <w:t>neurogenic</w:t>
      </w:r>
      <w:proofErr w:type="spellEnd"/>
      <w:r w:rsidRPr="007D6BAF">
        <w:rPr>
          <w:rFonts w:ascii="Times New Roman" w:eastAsia="Times New Roman" w:hAnsi="Times New Roman" w:cs="Times New Roman"/>
          <w:sz w:val="24"/>
          <w:szCs w:val="24"/>
        </w:rPr>
        <w:t xml:space="preserve"> bladder, which prevents her from emptying her bladder voluntarily. Consequently, she must be catheterized every three or four hours to avoid injury to her kidneys. To accomplish this, a procedure known as clean intermittent catheterization (CIC) was prescribed. This is a simple procedure that can be performed in a few minutes by a layperson with less than an hour's training. Since petitioner School District received federal funding under the Education of the Handicapped Act it was required to provide the child with "a free appropriate public education," which is defined in the Act to include "related services," which are defined in turn to include "supportive services (including . . . medical . . . services, except that such medical services shall be for diagnostic and evaluation purposes only) as may be required to assist a handicapped child to benefit from special education." Pursuant to the Act, petitioner developed an individualized education program for the child, but the program made no provision for school personnel to administer CIC. After unsuccessfully pursuing administrative remedies to secure CIC services for the child during school hours, respondents brought an action against petitioner and others in Federal District Court, seeking injunctive relief, damages, and attorney's fees. Respondents invoked the Education of the Handicapped Act, arguing that CIC is one of the included "related services" under the statutory definition, and also invoked § 504 of the Rehabilitation Act of 1973, which forbids a person, by reason of a handicap, to be "excluded from the participation in, be denied the benefits of, or be subjected to discrimination under" any program receiving federal aid. After </w:t>
      </w:r>
      <w:r w:rsidRPr="007D6BAF">
        <w:rPr>
          <w:rFonts w:ascii="Times New Roman" w:eastAsia="Times New Roman" w:hAnsi="Times New Roman" w:cs="Times New Roman"/>
          <w:sz w:val="24"/>
          <w:szCs w:val="24"/>
        </w:rPr>
        <w:lastRenderedPageBreak/>
        <w:t>its initial denial of relief was reversed by the Court of Appeals, the District Court, on remand, held that CIC was a "related service" under the Education of the Handicapped Act, ordered that the child's education program be modified to include provision of CIC during school hours, and awarded compensatory damages against petitioner. The court further held that respondents had proved a violation of § 504 of the Rehabilitation Act, and awarded attorney's fees to respondents under § 505 of that Act. The Court of Appeals affirmed.</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Held:</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1. CIC is a "related service" under the Education of the Handicapped Act. Pp. 888-895.</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(a) CIC services qualify as a "supportive service . . . required to assist a handicapped child to benefit from special education," within the meaning of the Act. Without CIC services available during the school day, respondents' child cannot attend school and thereby "benefit from special education." Such services are no less related to the effort to educate than are services that enable a child to reach, enter, or exit a school. Pp. 890-891.</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(b) The provision of CIC is not subject to exclusion as a "medical service." The Department of Education regulations, which are entitled to deference, define "related services" for handicapped children to include "school health services," which are defined in turn as "services provided by a qualified school nurse or other qualified person," and define "medical services" as "services provided by a licensed physician." This definition of "medical services" is a reasonable interpretation of congressional intent to exclude physician's services as such and to impose an obligation to provide school nursing services. Pp. 891-895.</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2. Section 504 of the Rehabilitation Act is inapplicable when relief is available under the Education of the Handicapped Act to remedy a denial of educational services, Smith v. Robinson, </w:t>
      </w:r>
      <w:hyperlink r:id="rId8" w:tooltip="468 U.S. 992, 104 S.Ct. 3457, 82 L.Ed.2d 746" w:history="1">
        <w:r w:rsidRPr="007D6BAF">
          <w:rPr>
            <w:rFonts w:ascii="Times New Roman" w:eastAsia="Times New Roman" w:hAnsi="Times New Roman" w:cs="Times New Roman"/>
            <w:color w:val="0000FF"/>
            <w:sz w:val="24"/>
            <w:szCs w:val="24"/>
            <w:u w:val="single"/>
          </w:rPr>
          <w:t xml:space="preserve">468 U.S. 992, 104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3457, 82 L.Ed.2d 746</w:t>
        </w:r>
      </w:hyperlink>
      <w:r w:rsidRPr="007D6BAF">
        <w:rPr>
          <w:rFonts w:ascii="Times New Roman" w:eastAsia="Times New Roman" w:hAnsi="Times New Roman" w:cs="Times New Roman"/>
          <w:sz w:val="24"/>
          <w:szCs w:val="24"/>
        </w:rPr>
        <w:t>, and therefore respondents are not entitled to any relief under § 504, including recovery of attorney's fees. Pp. 895-896.</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703 F.2d 823 (CA5 1983), affirmed in part and reversed in part.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 xml:space="preserve">James W. </w:t>
      </w:r>
      <w:proofErr w:type="spellStart"/>
      <w:r w:rsidRPr="007D6BAF">
        <w:rPr>
          <w:rFonts w:ascii="Times New Roman" w:eastAsia="Times New Roman" w:hAnsi="Times New Roman" w:cs="Times New Roman"/>
          <w:sz w:val="24"/>
          <w:szCs w:val="24"/>
        </w:rPr>
        <w:t>Deatherage</w:t>
      </w:r>
      <w:proofErr w:type="spellEnd"/>
      <w:r w:rsidRPr="007D6BAF">
        <w:rPr>
          <w:rFonts w:ascii="Times New Roman" w:eastAsia="Times New Roman" w:hAnsi="Times New Roman" w:cs="Times New Roman"/>
          <w:sz w:val="24"/>
          <w:szCs w:val="24"/>
        </w:rPr>
        <w:t>, Irving, Tex., for petitioner.</w:t>
      </w:r>
      <w:proofErr w:type="gramEnd"/>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James C. Todd, Austin, Tex., for respondents.</w:t>
      </w:r>
      <w:proofErr w:type="gramEnd"/>
    </w:p>
    <w:bookmarkStart w:id="1" w:name="writing-type-1-BURGER"/>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b/>
          <w:bCs/>
          <w:color w:val="0000FF"/>
          <w:sz w:val="24"/>
          <w:szCs w:val="24"/>
          <w:u w:val="single"/>
        </w:rPr>
        <w:t>TOP</w:t>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sz w:val="24"/>
          <w:szCs w:val="24"/>
        </w:rPr>
        <w:fldChar w:fldCharType="end"/>
      </w:r>
      <w:bookmarkEnd w:id="1"/>
    </w:p>
    <w:p w:rsidR="007D6BAF" w:rsidRPr="007D6BAF" w:rsidRDefault="007D6BAF" w:rsidP="007D6BAF">
      <w:pPr>
        <w:spacing w:after="0"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pict>
          <v:rect id="_x0000_i1025" style="width:0;height:1.5pt" o:hralign="center" o:hrstd="t" o:hr="t" fillcolor="#a0a0a0" stroked="f"/>
        </w:pic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Chief Justice BURGER delivered the opinion of the Court.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We granted certiorari to determine whether the Education of the Handicapped Act or the Rehabilitation Act of 1973 requires a school district to provide a handicapped child with clean intermittent catheterization during school hours.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 xml:space="preserve">* Amber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is an 8-year-old girl born with a defect known as </w:t>
      </w:r>
      <w:proofErr w:type="spellStart"/>
      <w:r w:rsidRPr="007D6BAF">
        <w:rPr>
          <w:rFonts w:ascii="Times New Roman" w:eastAsia="Times New Roman" w:hAnsi="Times New Roman" w:cs="Times New Roman"/>
          <w:sz w:val="24"/>
          <w:szCs w:val="24"/>
        </w:rPr>
        <w:t>spina</w:t>
      </w:r>
      <w:proofErr w:type="spellEnd"/>
      <w:r w:rsidRPr="007D6BAF">
        <w:rPr>
          <w:rFonts w:ascii="Times New Roman" w:eastAsia="Times New Roman" w:hAnsi="Times New Roman" w:cs="Times New Roman"/>
          <w:sz w:val="24"/>
          <w:szCs w:val="24"/>
        </w:rPr>
        <w:t xml:space="preserve"> bifida. As a result, she suffers from orthopedic and speech impairments and a </w:t>
      </w:r>
      <w:proofErr w:type="spellStart"/>
      <w:r w:rsidRPr="007D6BAF">
        <w:rPr>
          <w:rFonts w:ascii="Times New Roman" w:eastAsia="Times New Roman" w:hAnsi="Times New Roman" w:cs="Times New Roman"/>
          <w:sz w:val="24"/>
          <w:szCs w:val="24"/>
        </w:rPr>
        <w:t>neurogenic</w:t>
      </w:r>
      <w:proofErr w:type="spellEnd"/>
      <w:r w:rsidRPr="007D6BAF">
        <w:rPr>
          <w:rFonts w:ascii="Times New Roman" w:eastAsia="Times New Roman" w:hAnsi="Times New Roman" w:cs="Times New Roman"/>
          <w:sz w:val="24"/>
          <w:szCs w:val="24"/>
        </w:rPr>
        <w:t xml:space="preserve"> bladder, which prevents her from emptying her bladder voluntarily. Consequently, she must be catheterized every three or four hours to avoid injury to her kidneys. In accordance with accepted medical practice, clean intermittent catheterization (CIC), a procedure involving the insertion of a catheter into the urethra to drain the bladder, has been prescribed. The procedure is a simple one that may be performed in a few minutes by a layperson with less than an hour's training. Amber's parents, babysitter, and teenage brother are all qualified to administer CIC, and Amber soon will be able to perform this procedure herself.</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In 1979 petitioner Irving Independent School District agreed to provide special education for Amber, who was then three and one-half years old. In consultation with her parents, who are respondents here, petitioner developed an individualized education program for Amber under the requirements of the Education of the Handicapped Act, 84 Stat. 175, as amended significantly by the Education for All Handicapped Children Act of 1975, 89 Stat. 773, </w:t>
      </w:r>
      <w:hyperlink r:id="rId9" w:anchor="19" w:tooltip="20 U.S.C. 1401(19)" w:history="1">
        <w:r w:rsidRPr="007D6BAF">
          <w:rPr>
            <w:rFonts w:ascii="Times New Roman" w:eastAsia="Times New Roman" w:hAnsi="Times New Roman" w:cs="Times New Roman"/>
            <w:color w:val="0000FF"/>
            <w:sz w:val="24"/>
            <w:szCs w:val="24"/>
            <w:u w:val="single"/>
          </w:rPr>
          <w:t>20 U.S.C. 1401(19)</w:t>
        </w:r>
      </w:hyperlink>
      <w:r w:rsidRPr="007D6BAF">
        <w:rPr>
          <w:rFonts w:ascii="Times New Roman" w:eastAsia="Times New Roman" w:hAnsi="Times New Roman" w:cs="Times New Roman"/>
          <w:sz w:val="24"/>
          <w:szCs w:val="24"/>
        </w:rPr>
        <w:t xml:space="preserve">, </w:t>
      </w:r>
      <w:hyperlink r:id="rId10" w:anchor="a_5" w:tooltip="1414(a)(5)" w:history="1">
        <w:r w:rsidRPr="007D6BAF">
          <w:rPr>
            <w:rFonts w:ascii="Times New Roman" w:eastAsia="Times New Roman" w:hAnsi="Times New Roman" w:cs="Times New Roman"/>
            <w:color w:val="0000FF"/>
            <w:sz w:val="24"/>
            <w:szCs w:val="24"/>
            <w:u w:val="single"/>
          </w:rPr>
          <w:t>1414(a)(5)</w:t>
        </w:r>
      </w:hyperlink>
      <w:r w:rsidRPr="007D6BAF">
        <w:rPr>
          <w:rFonts w:ascii="Times New Roman" w:eastAsia="Times New Roman" w:hAnsi="Times New Roman" w:cs="Times New Roman"/>
          <w:sz w:val="24"/>
          <w:szCs w:val="24"/>
        </w:rPr>
        <w:t>. The individualized education program provided that Amber would attend early childhood development classes and receive special services such as physical and occupational therapy. That program, however, made no provision for school personnel to administer CIC.</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Respondents unsuccessfully pursued administrative remedies to secure CIC services for Amber during school hours.</w:t>
      </w:r>
      <w:bookmarkStart w:id="2" w:name="fn1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1</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2"/>
      <w:r w:rsidRPr="007D6BAF">
        <w:rPr>
          <w:rFonts w:ascii="Times New Roman" w:eastAsia="Times New Roman" w:hAnsi="Times New Roman" w:cs="Times New Roman"/>
          <w:sz w:val="24"/>
          <w:szCs w:val="24"/>
        </w:rPr>
        <w:t>In October 1979 respondents brought the present action in District Court against petitioner, the State Board of Education, and others. See § 1415(e</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2). They sought an injunction ordering petitioner to provide Amber with CIC and sought damages and attorney's fees. First, respondents invoked the Education of the Handicapped Act. Because Texas received funding under that statute, petitioner was required to provide Amber with a "free appropriate public education," §§ 1412(1), 1414(a</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1)(C)(ii), which is defined to include "related services," § 1401(18). Respondents argued that CIC is one such "related service."</w:t>
      </w:r>
      <w:bookmarkStart w:id="3" w:name="fn2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"fn2"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2</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3"/>
      <w:r w:rsidRPr="007D6BAF">
        <w:rPr>
          <w:rFonts w:ascii="Times New Roman" w:eastAsia="Times New Roman" w:hAnsi="Times New Roman" w:cs="Times New Roman"/>
          <w:sz w:val="24"/>
          <w:szCs w:val="24"/>
        </w:rPr>
        <w:t xml:space="preserve">Second, respondents invoked § 504 of the Rehabilitation Act of 1973, 87 Stat. 394, as amended, </w:t>
      </w:r>
      <w:hyperlink r:id="rId11" w:tooltip="29 U.S.C. 794" w:history="1">
        <w:r w:rsidRPr="007D6BAF">
          <w:rPr>
            <w:rFonts w:ascii="Times New Roman" w:eastAsia="Times New Roman" w:hAnsi="Times New Roman" w:cs="Times New Roman"/>
            <w:color w:val="0000FF"/>
            <w:sz w:val="24"/>
            <w:szCs w:val="24"/>
            <w:u w:val="single"/>
          </w:rPr>
          <w:t>29 U.S.C. 794</w:t>
        </w:r>
      </w:hyperlink>
      <w:r w:rsidRPr="007D6BAF">
        <w:rPr>
          <w:rFonts w:ascii="Times New Roman" w:eastAsia="Times New Roman" w:hAnsi="Times New Roman" w:cs="Times New Roman"/>
          <w:sz w:val="24"/>
          <w:szCs w:val="24"/>
        </w:rPr>
        <w:t>, which forbids an individual, by reason of a handicap, to be "excluded from the participation in, be denied the benefits of, or be subjected to discrimination under" any program receiving federal aid.</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District Court denied respondents' request for a preliminary injunction.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v. Texas, </w:t>
      </w:r>
      <w:proofErr w:type="gramStart"/>
      <w:r w:rsidRPr="007D6BAF">
        <w:rPr>
          <w:rFonts w:ascii="Times New Roman" w:eastAsia="Times New Roman" w:hAnsi="Times New Roman" w:cs="Times New Roman"/>
          <w:sz w:val="24"/>
          <w:szCs w:val="24"/>
        </w:rPr>
        <w:t xml:space="preserve">481 </w:t>
      </w:r>
      <w:proofErr w:type="spellStart"/>
      <w:r w:rsidRPr="007D6BAF">
        <w:rPr>
          <w:rFonts w:ascii="Times New Roman" w:eastAsia="Times New Roman" w:hAnsi="Times New Roman" w:cs="Times New Roman"/>
          <w:sz w:val="24"/>
          <w:szCs w:val="24"/>
        </w:rPr>
        <w:t>F.Supp</w:t>
      </w:r>
      <w:proofErr w:type="spellEnd"/>
      <w:proofErr w:type="gram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1224 (ND Tex.1979).</w:t>
      </w:r>
      <w:proofErr w:type="gramEnd"/>
      <w:r w:rsidRPr="007D6BAF">
        <w:rPr>
          <w:rFonts w:ascii="Times New Roman" w:eastAsia="Times New Roman" w:hAnsi="Times New Roman" w:cs="Times New Roman"/>
          <w:sz w:val="24"/>
          <w:szCs w:val="24"/>
        </w:rPr>
        <w:t xml:space="preserve"> That court concluded that CIC was not a "related service" under the Education of the Handicapped Act because it did not serve a need arising from the effort to educate. It also held that § 504 of the Rehabilitation Act did not require "the setting up of governmental health care for people seeking to participate" in federally funded programs. </w:t>
      </w:r>
      <w:proofErr w:type="gramStart"/>
      <w:r w:rsidRPr="007D6BAF">
        <w:rPr>
          <w:rFonts w:ascii="Times New Roman" w:eastAsia="Times New Roman" w:hAnsi="Times New Roman" w:cs="Times New Roman"/>
          <w:sz w:val="24"/>
          <w:szCs w:val="24"/>
        </w:rPr>
        <w:t>Id., at 1229.</w:t>
      </w:r>
      <w:proofErr w:type="gramEnd"/>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Court of Appeals reversed. </w:t>
      </w:r>
      <w:proofErr w:type="spellStart"/>
      <w:proofErr w:type="gram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v. Texas, 625 F.2d 557 (CA5 1980)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I).</w:t>
      </w:r>
      <w:proofErr w:type="gramEnd"/>
      <w:r w:rsidRPr="007D6BAF">
        <w:rPr>
          <w:rFonts w:ascii="Times New Roman" w:eastAsia="Times New Roman" w:hAnsi="Times New Roman" w:cs="Times New Roman"/>
          <w:sz w:val="24"/>
          <w:szCs w:val="24"/>
        </w:rPr>
        <w:t xml:space="preserve"> First, it held that CIC was a "related service" under the Education of the Handicapped Act, </w:t>
      </w:r>
      <w:hyperlink r:id="rId12" w:anchor="17" w:tooltip="20 U.S.C. 1401(17)" w:history="1">
        <w:r w:rsidRPr="007D6BAF">
          <w:rPr>
            <w:rFonts w:ascii="Times New Roman" w:eastAsia="Times New Roman" w:hAnsi="Times New Roman" w:cs="Times New Roman"/>
            <w:color w:val="0000FF"/>
            <w:sz w:val="24"/>
            <w:szCs w:val="24"/>
            <w:u w:val="single"/>
          </w:rPr>
          <w:t>20 U.S.C. 1401(17)</w:t>
        </w:r>
      </w:hyperlink>
      <w:r w:rsidRPr="007D6BAF">
        <w:rPr>
          <w:rFonts w:ascii="Times New Roman" w:eastAsia="Times New Roman" w:hAnsi="Times New Roman" w:cs="Times New Roman"/>
          <w:sz w:val="24"/>
          <w:szCs w:val="24"/>
        </w:rPr>
        <w:t>, because without the procedure Amber could not attend classes and benefit from special education. Second, it held that petitioner's refusal to provide CIC effectively excluded her from a federally funded educational program in violation of § 504 of the Rehabilitation Act. The Court of Appeals remanded for the District Court to develop a factual record and apply these legal principles.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 xml:space="preserve">On remand petitioner stressed the Education of the Handicapped Act's explicit provision that "medical services" could qualify as "related services" only when they served the purpose of diagnosis or evaluation. See n. 2, supra. The District Court held that under Texas law a nurse or other qualified person may administer CIC without engaging in the unauthorized practice of medicine, provided that a doctor prescribes and supervises the procedure. The District Court then held that, because a doctor was not needed to administer CIC, provision of the procedure was not a "medical service" for purposes of the Education of the Handicapped Act. Finding CIC to be a "related service" under that Act, the District Court ordered petitioner and the State Board of Education to modify Amber's individualized education program to include provision of CIC during school hours. It also awarded compensatory damages against petitioner.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v. Texas, </w:t>
      </w:r>
      <w:proofErr w:type="gramStart"/>
      <w:r w:rsidRPr="007D6BAF">
        <w:rPr>
          <w:rFonts w:ascii="Times New Roman" w:eastAsia="Times New Roman" w:hAnsi="Times New Roman" w:cs="Times New Roman"/>
          <w:sz w:val="24"/>
          <w:szCs w:val="24"/>
        </w:rPr>
        <w:t xml:space="preserve">516 </w:t>
      </w:r>
      <w:proofErr w:type="spellStart"/>
      <w:r w:rsidRPr="007D6BAF">
        <w:rPr>
          <w:rFonts w:ascii="Times New Roman" w:eastAsia="Times New Roman" w:hAnsi="Times New Roman" w:cs="Times New Roman"/>
          <w:sz w:val="24"/>
          <w:szCs w:val="24"/>
        </w:rPr>
        <w:t>F.Supp</w:t>
      </w:r>
      <w:proofErr w:type="spellEnd"/>
      <w:proofErr w:type="gram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968 (ND Tex.1981).</w:t>
      </w:r>
      <w:bookmarkStart w:id="4" w:name="fn3_ref"/>
      <w:proofErr w:type="gramEnd"/>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"fn3"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3</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4"/>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On the authority of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I, the District Court then held that respondents had proved a violation of § 504 of the Rehabilitation Act. Although the District Court did not rely on this holding to authorize any greater injunctive or compensatory relief, it did invoke the holding to award attorney's fees against petitioner and the State Board of Education.</w:t>
      </w:r>
      <w:bookmarkStart w:id="5" w:name="fn4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"fn4"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4</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5"/>
      <w:r w:rsidRPr="007D6BAF">
        <w:rPr>
          <w:rFonts w:ascii="Times New Roman" w:eastAsia="Times New Roman" w:hAnsi="Times New Roman" w:cs="Times New Roman"/>
          <w:sz w:val="24"/>
          <w:szCs w:val="24"/>
        </w:rPr>
        <w:t xml:space="preserve">516 </w:t>
      </w:r>
      <w:proofErr w:type="spellStart"/>
      <w:proofErr w:type="gramStart"/>
      <w:r w:rsidRPr="007D6BAF">
        <w:rPr>
          <w:rFonts w:ascii="Times New Roman" w:eastAsia="Times New Roman" w:hAnsi="Times New Roman" w:cs="Times New Roman"/>
          <w:sz w:val="24"/>
          <w:szCs w:val="24"/>
        </w:rPr>
        <w:t>F.Supp</w:t>
      </w:r>
      <w:proofErr w:type="spellEnd"/>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at 968; App. to Pet. for Cert. 55a-63a. The Rehabilitation Act, unlike the Education of the Handicapped Act, authorizes prevailing parties to recover attorney's fees. See </w:t>
      </w:r>
      <w:hyperlink r:id="rId13" w:tooltip="29 U.S.C. 794a" w:history="1">
        <w:r w:rsidRPr="007D6BAF">
          <w:rPr>
            <w:rFonts w:ascii="Times New Roman" w:eastAsia="Times New Roman" w:hAnsi="Times New Roman" w:cs="Times New Roman"/>
            <w:color w:val="0000FF"/>
            <w:sz w:val="24"/>
            <w:szCs w:val="24"/>
            <w:u w:val="single"/>
          </w:rPr>
          <w:t>29 U.S.C. 794a</w:t>
        </w:r>
      </w:hyperlink>
      <w:r w:rsidRPr="007D6BAF">
        <w:rPr>
          <w:rFonts w:ascii="Times New Roman" w:eastAsia="Times New Roman" w:hAnsi="Times New Roman" w:cs="Times New Roman"/>
          <w:sz w:val="24"/>
          <w:szCs w:val="24"/>
        </w:rPr>
        <w: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Court of Appeals affirmed. </w:t>
      </w:r>
      <w:proofErr w:type="spellStart"/>
      <w:proofErr w:type="gram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v. Texas, 703 F.2d 823 (CA5 1983)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II).</w:t>
      </w:r>
      <w:proofErr w:type="gramEnd"/>
      <w:r w:rsidRPr="007D6BAF">
        <w:rPr>
          <w:rFonts w:ascii="Times New Roman" w:eastAsia="Times New Roman" w:hAnsi="Times New Roman" w:cs="Times New Roman"/>
          <w:sz w:val="24"/>
          <w:szCs w:val="24"/>
        </w:rPr>
        <w:t xml:space="preserve"> That court accepted the District Court's conclusion that state law permitted qualified persons to administer CIC without the physical presence of a doctor, and it affirmed the award of relief under the Education of the Handicapped Act. In affirming the award of attorney's fees based on a finding of liability under the Rehabilitation Act, the Court of Appeals held that no change of circumstances since </w:t>
      </w:r>
      <w:proofErr w:type="spellStart"/>
      <w:r w:rsidRPr="007D6BAF">
        <w:rPr>
          <w:rFonts w:ascii="Times New Roman" w:eastAsia="Times New Roman" w:hAnsi="Times New Roman" w:cs="Times New Roman"/>
          <w:sz w:val="24"/>
          <w:szCs w:val="24"/>
        </w:rPr>
        <w:t>Tatro</w:t>
      </w:r>
      <w:proofErr w:type="spellEnd"/>
      <w:r w:rsidRPr="007D6BAF">
        <w:rPr>
          <w:rFonts w:ascii="Times New Roman" w:eastAsia="Times New Roman" w:hAnsi="Times New Roman" w:cs="Times New Roman"/>
          <w:sz w:val="24"/>
          <w:szCs w:val="24"/>
        </w:rPr>
        <w:t xml:space="preserve"> I justified a different result.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We granted certiorari, </w:t>
      </w:r>
      <w:hyperlink r:id="rId14" w:tooltip="464 U.S. 1007, 104 S.Ct. 523, 78 L.Ed.2d 707 (1983)" w:history="1">
        <w:r w:rsidRPr="007D6BAF">
          <w:rPr>
            <w:rFonts w:ascii="Times New Roman" w:eastAsia="Times New Roman" w:hAnsi="Times New Roman" w:cs="Times New Roman"/>
            <w:color w:val="0000FF"/>
            <w:sz w:val="24"/>
            <w:szCs w:val="24"/>
            <w:u w:val="single"/>
          </w:rPr>
          <w:t xml:space="preserve">464 U.S. 1007, 104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523, 78 L.Ed.2d 707 (1983)</w:t>
        </w:r>
      </w:hyperlink>
      <w:r w:rsidRPr="007D6BAF">
        <w:rPr>
          <w:rFonts w:ascii="Times New Roman" w:eastAsia="Times New Roman" w:hAnsi="Times New Roman" w:cs="Times New Roman"/>
          <w:sz w:val="24"/>
          <w:szCs w:val="24"/>
        </w:rPr>
        <w:t>, and we affirm in part and reverse in part.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II</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This case poses two separate issues. The first is whether the Education of the Handicapped Act requires petitioner to provide CIC services to Amber. The second is whether § 504 of the Rehabilitation Act </w:t>
      </w:r>
      <w:proofErr w:type="gramStart"/>
      <w:r w:rsidRPr="007D6BAF">
        <w:rPr>
          <w:rFonts w:ascii="Times New Roman" w:eastAsia="Times New Roman" w:hAnsi="Times New Roman" w:cs="Times New Roman"/>
          <w:sz w:val="24"/>
          <w:szCs w:val="24"/>
        </w:rPr>
        <w:t>creates</w:t>
      </w:r>
      <w:proofErr w:type="gramEnd"/>
      <w:r w:rsidRPr="007D6BAF">
        <w:rPr>
          <w:rFonts w:ascii="Times New Roman" w:eastAsia="Times New Roman" w:hAnsi="Times New Roman" w:cs="Times New Roman"/>
          <w:sz w:val="24"/>
          <w:szCs w:val="24"/>
        </w:rPr>
        <w:t xml:space="preserve"> such an obligation. We first turn to the claim presented under the Education of the Handicapped Act.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States receiving funds under the Act are obliged to satisfy certain conditions. A primary condition is that the </w:t>
      </w:r>
      <w:proofErr w:type="gramStart"/>
      <w:r w:rsidRPr="007D6BAF">
        <w:rPr>
          <w:rFonts w:ascii="Times New Roman" w:eastAsia="Times New Roman" w:hAnsi="Times New Roman" w:cs="Times New Roman"/>
          <w:sz w:val="24"/>
          <w:szCs w:val="24"/>
        </w:rPr>
        <w:t>state implement</w:t>
      </w:r>
      <w:proofErr w:type="gramEnd"/>
      <w:r w:rsidRPr="007D6BAF">
        <w:rPr>
          <w:rFonts w:ascii="Times New Roman" w:eastAsia="Times New Roman" w:hAnsi="Times New Roman" w:cs="Times New Roman"/>
          <w:sz w:val="24"/>
          <w:szCs w:val="24"/>
        </w:rPr>
        <w:t xml:space="preserve"> a policy "that assures all handicapped children the right to a free appropriate public education." </w:t>
      </w:r>
      <w:hyperlink r:id="rId15" w:anchor="1" w:tooltip="20 U.S.C. 1412(1)" w:history="1">
        <w:r w:rsidRPr="007D6BAF">
          <w:rPr>
            <w:rFonts w:ascii="Times New Roman" w:eastAsia="Times New Roman" w:hAnsi="Times New Roman" w:cs="Times New Roman"/>
            <w:color w:val="0000FF"/>
            <w:sz w:val="24"/>
            <w:szCs w:val="24"/>
            <w:u w:val="single"/>
          </w:rPr>
          <w:t>20 U.S.C. 1412(1)</w:t>
        </w:r>
      </w:hyperlink>
      <w:r w:rsidRPr="007D6BAF">
        <w:rPr>
          <w:rFonts w:ascii="Times New Roman" w:eastAsia="Times New Roman" w:hAnsi="Times New Roman" w:cs="Times New Roman"/>
          <w:sz w:val="24"/>
          <w:szCs w:val="24"/>
        </w:rPr>
        <w:t>. Each educational agency applying to a state for funding must provide assurances in turn that its program aims to provide "a free appropriate public education to all handicapped children." § 1414(a</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1)(C)(ii).</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A "free appropriate public education" is explicitly defined as "special education and related services."</w:t>
      </w:r>
      <w:proofErr w:type="gramEnd"/>
      <w:r w:rsidRPr="007D6BAF">
        <w:rPr>
          <w:rFonts w:ascii="Times New Roman" w:eastAsia="Times New Roman" w:hAnsi="Times New Roman" w:cs="Times New Roman"/>
          <w:sz w:val="24"/>
          <w:szCs w:val="24"/>
        </w:rPr>
        <w:t xml:space="preserve"> § 1401(18).</w:t>
      </w:r>
      <w:bookmarkStart w:id="6" w:name="fn5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"fn5"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5</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6"/>
      <w:r w:rsidRPr="007D6BAF">
        <w:rPr>
          <w:rFonts w:ascii="Times New Roman" w:eastAsia="Times New Roman" w:hAnsi="Times New Roman" w:cs="Times New Roman"/>
          <w:sz w:val="24"/>
          <w:szCs w:val="24"/>
        </w:rPr>
        <w:t>The term "special education" means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w:t>
      </w:r>
      <w:proofErr w:type="gramStart"/>
      <w:r w:rsidRPr="007D6BAF">
        <w:rPr>
          <w:rFonts w:ascii="Times New Roman" w:eastAsia="Times New Roman" w:hAnsi="Times New Roman" w:cs="Times New Roman"/>
          <w:sz w:val="24"/>
          <w:szCs w:val="24"/>
        </w:rPr>
        <w:t>specially</w:t>
      </w:r>
      <w:proofErr w:type="gramEnd"/>
      <w:r w:rsidRPr="007D6BAF">
        <w:rPr>
          <w:rFonts w:ascii="Times New Roman" w:eastAsia="Times New Roman" w:hAnsi="Times New Roman" w:cs="Times New Roman"/>
          <w:sz w:val="24"/>
          <w:szCs w:val="24"/>
        </w:rPr>
        <w:t xml:space="preserve"> designed instruction, at no cost to parents or guardians, to meet the unique needs of a handicapped child, including classroom instruction, instruction in physical education, home instruction, and instruction in hospitals and institutions." § 1401(16).</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"Related services" are defined as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"transportation, and such developmental, corrective, and other supportive services (including speech pathology and audiology, psychological services, physical and occupational therapy, recreation, and medical and counseling services, except that such medical services shall be for diagnostic and evaluation purposes only) as may be required to assist a handicapped child to benefit from special education, and includes the early identification and assessment of handicapping conditions in children." § 1401(17) (emphasis added).</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issue in this case is whether CIC is a "related service" that petitioner is obliged to provide to Amber. We must answer two questions: first, whether CIC is a "supportive service . . . required to assist a handicapped child to benefit from special education"; and second, whether CIC is excluded from this definition as a "medical service" serving purposes other than diagnosis or evaluation.</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Court of Appeals was clearly correct in holding that CIC is a "supportive service . . . required to assist a handicapped child to benefit from special education."</w:t>
      </w:r>
      <w:bookmarkStart w:id="7" w:name="fn6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"fn6"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6</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7"/>
      <w:r w:rsidRPr="007D6BAF">
        <w:rPr>
          <w:rFonts w:ascii="Times New Roman" w:eastAsia="Times New Roman" w:hAnsi="Times New Roman" w:cs="Times New Roman"/>
          <w:sz w:val="24"/>
          <w:szCs w:val="24"/>
        </w:rPr>
        <w:t>It is clear on this record that, without having CIC services available during the school day, Amber cannot attend school and thereby "benefit from special education." CIC services therefore fall squarely within the definition of a "supportive service."</w:t>
      </w:r>
      <w:bookmarkStart w:id="8" w:name="fn7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"fn7"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7</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8"/>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As we have stated before, "Congress sought primarily to make public education available to handicapped children" and "to make such access meaningful." </w:t>
      </w:r>
      <w:proofErr w:type="gramStart"/>
      <w:r w:rsidRPr="007D6BAF">
        <w:rPr>
          <w:rFonts w:ascii="Times New Roman" w:eastAsia="Times New Roman" w:hAnsi="Times New Roman" w:cs="Times New Roman"/>
          <w:sz w:val="24"/>
          <w:szCs w:val="24"/>
        </w:rPr>
        <w:t xml:space="preserve">Board of Education of </w:t>
      </w:r>
      <w:proofErr w:type="spellStart"/>
      <w:r w:rsidRPr="007D6BAF">
        <w:rPr>
          <w:rFonts w:ascii="Times New Roman" w:eastAsia="Times New Roman" w:hAnsi="Times New Roman" w:cs="Times New Roman"/>
          <w:sz w:val="24"/>
          <w:szCs w:val="24"/>
        </w:rPr>
        <w:t>Hendrick</w:t>
      </w:r>
      <w:proofErr w:type="spellEnd"/>
      <w:r w:rsidRPr="007D6BAF">
        <w:rPr>
          <w:rFonts w:ascii="Times New Roman" w:eastAsia="Times New Roman" w:hAnsi="Times New Roman" w:cs="Times New Roman"/>
          <w:sz w:val="24"/>
          <w:szCs w:val="24"/>
        </w:rPr>
        <w:t xml:space="preserve"> Hudson Central School District v. Rowley, </w:t>
      </w:r>
      <w:hyperlink r:id="rId16" w:tooltip="458 U.S. 176, 192, 102 S.Ct. 3034, 3043, 73 L.Ed.2d 690 (1982)" w:history="1">
        <w:r w:rsidRPr="007D6BAF">
          <w:rPr>
            <w:rFonts w:ascii="Times New Roman" w:eastAsia="Times New Roman" w:hAnsi="Times New Roman" w:cs="Times New Roman"/>
            <w:color w:val="0000FF"/>
            <w:sz w:val="24"/>
            <w:szCs w:val="24"/>
            <w:u w:val="single"/>
          </w:rPr>
          <w:t xml:space="preserve">458 U.S. 176, 192, 102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3034, 3043, 73 L.Ed.2d 690 (1982)</w:t>
        </w:r>
      </w:hyperlink>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A service that enables a handicapped child to remain at school during the day is an important means of providing the child with the meaningful access to education that Congress envisioned. The Act makes specific provision for services, like transportation, for example, that do no more than enable a child to be physically present in class, see </w:t>
      </w:r>
      <w:hyperlink r:id="rId17" w:anchor="17" w:tooltip="20 U.S.C. 1401(17)" w:history="1">
        <w:r w:rsidRPr="007D6BAF">
          <w:rPr>
            <w:rFonts w:ascii="Times New Roman" w:eastAsia="Times New Roman" w:hAnsi="Times New Roman" w:cs="Times New Roman"/>
            <w:color w:val="0000FF"/>
            <w:sz w:val="24"/>
            <w:szCs w:val="24"/>
            <w:u w:val="single"/>
          </w:rPr>
          <w:t>20 U.S.C. 1401(17)</w:t>
        </w:r>
      </w:hyperlink>
      <w:r w:rsidRPr="007D6BAF">
        <w:rPr>
          <w:rFonts w:ascii="Times New Roman" w:eastAsia="Times New Roman" w:hAnsi="Times New Roman" w:cs="Times New Roman"/>
          <w:sz w:val="24"/>
          <w:szCs w:val="24"/>
        </w:rPr>
        <w:t xml:space="preserve">; and the Act specifically authorizes grants for schools to alter buildings and equipment to make them accessible to the handicapped, § 1406; see </w:t>
      </w:r>
      <w:proofErr w:type="spellStart"/>
      <w:r w:rsidRPr="007D6BAF">
        <w:rPr>
          <w:rFonts w:ascii="Times New Roman" w:eastAsia="Times New Roman" w:hAnsi="Times New Roman" w:cs="Times New Roman"/>
          <w:sz w:val="24"/>
          <w:szCs w:val="24"/>
        </w:rPr>
        <w:t>S.Rep</w:t>
      </w:r>
      <w:proofErr w:type="spellEnd"/>
      <w:r w:rsidRPr="007D6BAF">
        <w:rPr>
          <w:rFonts w:ascii="Times New Roman" w:eastAsia="Times New Roman" w:hAnsi="Times New Roman" w:cs="Times New Roman"/>
          <w:sz w:val="24"/>
          <w:szCs w:val="24"/>
        </w:rPr>
        <w:t xml:space="preserve">. No. 94-168, p. 38 (1975), </w:t>
      </w:r>
      <w:proofErr w:type="spellStart"/>
      <w:r w:rsidRPr="007D6BAF">
        <w:rPr>
          <w:rFonts w:ascii="Times New Roman" w:eastAsia="Times New Roman" w:hAnsi="Times New Roman" w:cs="Times New Roman"/>
          <w:sz w:val="24"/>
          <w:szCs w:val="24"/>
        </w:rPr>
        <w:t>U.S.Code</w:t>
      </w:r>
      <w:proofErr w:type="spellEnd"/>
      <w:r w:rsidRPr="007D6BAF">
        <w:rPr>
          <w:rFonts w:ascii="Times New Roman" w:eastAsia="Times New Roman" w:hAnsi="Times New Roman" w:cs="Times New Roman"/>
          <w:sz w:val="24"/>
          <w:szCs w:val="24"/>
        </w:rPr>
        <w:t xml:space="preserve"> Cong. &amp; </w:t>
      </w:r>
      <w:proofErr w:type="spellStart"/>
      <w:r w:rsidRPr="007D6BAF">
        <w:rPr>
          <w:rFonts w:ascii="Times New Roman" w:eastAsia="Times New Roman" w:hAnsi="Times New Roman" w:cs="Times New Roman"/>
          <w:sz w:val="24"/>
          <w:szCs w:val="24"/>
        </w:rPr>
        <w:t>Admin.News</w:t>
      </w:r>
      <w:proofErr w:type="spellEnd"/>
      <w:r w:rsidRPr="007D6BAF">
        <w:rPr>
          <w:rFonts w:ascii="Times New Roman" w:eastAsia="Times New Roman" w:hAnsi="Times New Roman" w:cs="Times New Roman"/>
          <w:sz w:val="24"/>
          <w:szCs w:val="24"/>
        </w:rPr>
        <w:t xml:space="preserve"> 1975, p. 1425; 121 </w:t>
      </w:r>
      <w:proofErr w:type="spellStart"/>
      <w:r w:rsidRPr="007D6BAF">
        <w:rPr>
          <w:rFonts w:ascii="Times New Roman" w:eastAsia="Times New Roman" w:hAnsi="Times New Roman" w:cs="Times New Roman"/>
          <w:sz w:val="24"/>
          <w:szCs w:val="24"/>
        </w:rPr>
        <w:t>Cong.Rec</w:t>
      </w:r>
      <w:proofErr w:type="spell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19483-19484 (1975) (remarks of Sen. Stafford).</w:t>
      </w:r>
      <w:proofErr w:type="gramEnd"/>
      <w:r w:rsidRPr="007D6BAF">
        <w:rPr>
          <w:rFonts w:ascii="Times New Roman" w:eastAsia="Times New Roman" w:hAnsi="Times New Roman" w:cs="Times New Roman"/>
          <w:sz w:val="24"/>
          <w:szCs w:val="24"/>
        </w:rPr>
        <w:t xml:space="preserve"> Services like CIC that permit a child to remain at school during the day are no less related to the effort to educate than are services that enable the child to reach, enter, or exit the school.</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We hold that CIC services in this case qualify as a "supportive service . . . required to assist a handicapped child to benefit from special education."</w:t>
      </w:r>
      <w:bookmarkStart w:id="9" w:name="fn8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"fn8"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8</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9"/>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B</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We also agree with the Court of Appeals that provision of CIC is not a "medical service," which a school is required to provide only for purposes of diagnosis or evaluation. See </w:t>
      </w:r>
      <w:hyperlink r:id="rId18" w:anchor="17" w:tooltip="20 U.S.C. 1401(17)" w:history="1">
        <w:r w:rsidRPr="007D6BAF">
          <w:rPr>
            <w:rFonts w:ascii="Times New Roman" w:eastAsia="Times New Roman" w:hAnsi="Times New Roman" w:cs="Times New Roman"/>
            <w:color w:val="0000FF"/>
            <w:sz w:val="24"/>
            <w:szCs w:val="24"/>
            <w:u w:val="single"/>
          </w:rPr>
          <w:t>20 U.S.C. 1401(17)</w:t>
        </w:r>
      </w:hyperlink>
      <w:r w:rsidRPr="007D6BAF">
        <w:rPr>
          <w:rFonts w:ascii="Times New Roman" w:eastAsia="Times New Roman" w:hAnsi="Times New Roman" w:cs="Times New Roman"/>
          <w:sz w:val="24"/>
          <w:szCs w:val="24"/>
        </w:rPr>
        <w:t xml:space="preserve">. We begin with the regulations of the Department of Education, which are entitled to </w:t>
      </w:r>
      <w:r w:rsidRPr="007D6BAF">
        <w:rPr>
          <w:rFonts w:ascii="Times New Roman" w:eastAsia="Times New Roman" w:hAnsi="Times New Roman" w:cs="Times New Roman"/>
          <w:sz w:val="24"/>
          <w:szCs w:val="24"/>
        </w:rPr>
        <w:lastRenderedPageBreak/>
        <w:t>deference.</w:t>
      </w:r>
      <w:bookmarkStart w:id="10" w:name="fn9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"fn9"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proofErr w:type="gramStart"/>
      <w:r w:rsidRPr="007D6BAF">
        <w:rPr>
          <w:rFonts w:ascii="Times New Roman" w:eastAsia="Times New Roman" w:hAnsi="Times New Roman" w:cs="Times New Roman"/>
          <w:b/>
          <w:bCs/>
          <w:color w:val="0000FF"/>
          <w:sz w:val="24"/>
          <w:szCs w:val="24"/>
          <w:u w:val="single"/>
          <w:vertAlign w:val="superscript"/>
        </w:rPr>
        <w:t>9</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0"/>
      <w:r w:rsidRPr="007D6BAF">
        <w:rPr>
          <w:rFonts w:ascii="Times New Roman" w:eastAsia="Times New Roman" w:hAnsi="Times New Roman" w:cs="Times New Roman"/>
          <w:sz w:val="24"/>
          <w:szCs w:val="24"/>
        </w:rPr>
        <w:t xml:space="preserve">See, e.g., Blum v. Bacon, </w:t>
      </w:r>
      <w:hyperlink r:id="rId19" w:tooltip="457 U.S. 132, 141, 102 S.Ct. 2355, 2361, 72 L.Ed.2d 728 (1982)" w:history="1">
        <w:r w:rsidRPr="007D6BAF">
          <w:rPr>
            <w:rFonts w:ascii="Times New Roman" w:eastAsia="Times New Roman" w:hAnsi="Times New Roman" w:cs="Times New Roman"/>
            <w:color w:val="0000FF"/>
            <w:sz w:val="24"/>
            <w:szCs w:val="24"/>
            <w:u w:val="single"/>
          </w:rPr>
          <w:t xml:space="preserve">457 U.S. 132, 141, 102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2355, 2361, 72 L.Ed.2d 728 (1982)</w:t>
        </w:r>
      </w:hyperlink>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The regulations define "related services" for handicapped children to include "school health services," 34 CFR § 300.13(a) (1983), which are defined in turn as "services provided by a qualified school nurse or other qualified person," § 300.13(b</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10). "Medical services" are defined as "services provided by a licensed physician." § 300.13(b</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4).</w:t>
      </w:r>
      <w:bookmarkStart w:id="11" w:name="fn10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"fn10"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10</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1"/>
      <w:r w:rsidRPr="007D6BAF">
        <w:rPr>
          <w:rFonts w:ascii="Times New Roman" w:eastAsia="Times New Roman" w:hAnsi="Times New Roman" w:cs="Times New Roman"/>
          <w:sz w:val="24"/>
          <w:szCs w:val="24"/>
        </w:rPr>
        <w:t>Thus, the Secretary has determined that the services of a school nurse otherwise qualifying as a "related service" are not subject to exclusion as a "medical service," but that the services of a physician are excludable as such.</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This definition of "medical services" is a reasonable interpretation of congressional intent. Although Congress devoted little discussion to the "medical services" exclusion, the Secretary could reasonably have concluded that it was designed to spare schools from an obligation to provide a service that might well prove unduly expensive and beyond the range of their competence.</w:t>
      </w:r>
      <w:bookmarkStart w:id="12" w:name="fn11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"fn11"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11</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2"/>
      <w:r w:rsidRPr="007D6BAF">
        <w:rPr>
          <w:rFonts w:ascii="Times New Roman" w:eastAsia="Times New Roman" w:hAnsi="Times New Roman" w:cs="Times New Roman"/>
          <w:sz w:val="24"/>
          <w:szCs w:val="24"/>
        </w:rPr>
        <w:t>From this understanding of congressional purpose, the Secretary could reasonably have concluded that Congress intended to impose the obligation to provide school nursing services.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Congress plainly required schools to hire various specially trained personnel to help handicapped children, such as "trained occupational therapists, speech therapists, psychologists, social workers and other appropriately trained personnel." </w:t>
      </w:r>
      <w:proofErr w:type="spellStart"/>
      <w:proofErr w:type="gramStart"/>
      <w:r w:rsidRPr="007D6BAF">
        <w:rPr>
          <w:rFonts w:ascii="Times New Roman" w:eastAsia="Times New Roman" w:hAnsi="Times New Roman" w:cs="Times New Roman"/>
          <w:sz w:val="24"/>
          <w:szCs w:val="24"/>
        </w:rPr>
        <w:t>S.Rep</w:t>
      </w:r>
      <w:proofErr w:type="spellEnd"/>
      <w:r w:rsidRPr="007D6BAF">
        <w:rPr>
          <w:rFonts w:ascii="Times New Roman" w:eastAsia="Times New Roman" w:hAnsi="Times New Roman" w:cs="Times New Roman"/>
          <w:sz w:val="24"/>
          <w:szCs w:val="24"/>
        </w:rPr>
        <w:t xml:space="preserve">. No. 94-168, supra, at 33, </w:t>
      </w:r>
      <w:proofErr w:type="spellStart"/>
      <w:r w:rsidRPr="007D6BAF">
        <w:rPr>
          <w:rFonts w:ascii="Times New Roman" w:eastAsia="Times New Roman" w:hAnsi="Times New Roman" w:cs="Times New Roman"/>
          <w:sz w:val="24"/>
          <w:szCs w:val="24"/>
        </w:rPr>
        <w:t>U.S.Code</w:t>
      </w:r>
      <w:proofErr w:type="spellEnd"/>
      <w:r w:rsidRPr="007D6BAF">
        <w:rPr>
          <w:rFonts w:ascii="Times New Roman" w:eastAsia="Times New Roman" w:hAnsi="Times New Roman" w:cs="Times New Roman"/>
          <w:sz w:val="24"/>
          <w:szCs w:val="24"/>
        </w:rPr>
        <w:t xml:space="preserve"> Cong. &amp; </w:t>
      </w:r>
      <w:proofErr w:type="spellStart"/>
      <w:r w:rsidRPr="007D6BAF">
        <w:rPr>
          <w:rFonts w:ascii="Times New Roman" w:eastAsia="Times New Roman" w:hAnsi="Times New Roman" w:cs="Times New Roman"/>
          <w:sz w:val="24"/>
          <w:szCs w:val="24"/>
        </w:rPr>
        <w:t>Admin.News</w:t>
      </w:r>
      <w:proofErr w:type="spellEnd"/>
      <w:r w:rsidRPr="007D6BAF">
        <w:rPr>
          <w:rFonts w:ascii="Times New Roman" w:eastAsia="Times New Roman" w:hAnsi="Times New Roman" w:cs="Times New Roman"/>
          <w:sz w:val="24"/>
          <w:szCs w:val="24"/>
        </w:rPr>
        <w:t xml:space="preserve"> 1975, p. 1457.</w:t>
      </w:r>
      <w:proofErr w:type="gramEnd"/>
      <w:r w:rsidRPr="007D6BAF">
        <w:rPr>
          <w:rFonts w:ascii="Times New Roman" w:eastAsia="Times New Roman" w:hAnsi="Times New Roman" w:cs="Times New Roman"/>
          <w:sz w:val="24"/>
          <w:szCs w:val="24"/>
        </w:rPr>
        <w:t xml:space="preserve"> School nurses have long been a part of the educational system, and the Secretary could therefore reasonably conclude that school nursing services are not the sort of burden that Congress intended to exclude as a "medical service." By limiting the "medical services" exclusion to the services of a physician or hospital, both far more expensive, the Secretary has given a permissible construction to the provision.</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Petitioner's contrary interpretation of the "medical services" exclusion is unconvincing. In petitioner's view, CIC is a "medical service," even though it may be provided by a nurse or trained layperson; that conclusion rests on its reading of Texas law that confines CIC to uses in accordance with a physician's prescription and under a physician's ultimate supervision. Aside from conflicting with the Secretary's reasonable interpretation of congressional intent, however, such a rule would be anomalous. Nurses in petitioner School District are authorized to dispense oral medications and administer emergency injections in accordance with a physician's prescription. This kind of service for </w:t>
      </w:r>
      <w:proofErr w:type="spellStart"/>
      <w:r w:rsidRPr="007D6BAF">
        <w:rPr>
          <w:rFonts w:ascii="Times New Roman" w:eastAsia="Times New Roman" w:hAnsi="Times New Roman" w:cs="Times New Roman"/>
          <w:sz w:val="24"/>
          <w:szCs w:val="24"/>
        </w:rPr>
        <w:t>nonhandicapped</w:t>
      </w:r>
      <w:proofErr w:type="spellEnd"/>
      <w:r w:rsidRPr="007D6BAF">
        <w:rPr>
          <w:rFonts w:ascii="Times New Roman" w:eastAsia="Times New Roman" w:hAnsi="Times New Roman" w:cs="Times New Roman"/>
          <w:sz w:val="24"/>
          <w:szCs w:val="24"/>
        </w:rPr>
        <w:t xml:space="preserve"> children is difficult to distinguish from the provision of CIC to the handicapped.</w:t>
      </w:r>
      <w:bookmarkStart w:id="13" w:name="fn12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"fn12"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12</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3"/>
      <w:r w:rsidRPr="007D6BAF">
        <w:rPr>
          <w:rFonts w:ascii="Times New Roman" w:eastAsia="Times New Roman" w:hAnsi="Times New Roman" w:cs="Times New Roman"/>
          <w:sz w:val="24"/>
          <w:szCs w:val="24"/>
        </w:rPr>
        <w:t xml:space="preserve">It would be strange indeed if Congress, in attempting to extend special services to handicapped children, were unwilling to guarantee them services of a kind that are routinely provided to the </w:t>
      </w:r>
      <w:proofErr w:type="spellStart"/>
      <w:r w:rsidRPr="007D6BAF">
        <w:rPr>
          <w:rFonts w:ascii="Times New Roman" w:eastAsia="Times New Roman" w:hAnsi="Times New Roman" w:cs="Times New Roman"/>
          <w:sz w:val="24"/>
          <w:szCs w:val="24"/>
        </w:rPr>
        <w:t>nonhandicapped</w:t>
      </w:r>
      <w:proofErr w:type="spellEnd"/>
      <w:r w:rsidRPr="007D6BAF">
        <w:rPr>
          <w:rFonts w:ascii="Times New Roman" w:eastAsia="Times New Roman" w:hAnsi="Times New Roman" w:cs="Times New Roman"/>
          <w:sz w:val="24"/>
          <w:szCs w:val="24"/>
        </w:rPr>
        <w: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To keep in perspective the obligation to provide services that relate to both the health and educational needs of handicapped students, we note several limitations that should minimize the burden petitioner fears. First, to be entitled to related services, a child must be handicapped so as to require special education. See </w:t>
      </w:r>
      <w:hyperlink r:id="rId20" w:anchor="1" w:tooltip="20 U.S.C. 1401(1)" w:history="1">
        <w:r w:rsidRPr="007D6BAF">
          <w:rPr>
            <w:rFonts w:ascii="Times New Roman" w:eastAsia="Times New Roman" w:hAnsi="Times New Roman" w:cs="Times New Roman"/>
            <w:color w:val="0000FF"/>
            <w:sz w:val="24"/>
            <w:szCs w:val="24"/>
            <w:u w:val="single"/>
          </w:rPr>
          <w:t>20 U.S.C. 1401(1)</w:t>
        </w:r>
      </w:hyperlink>
      <w:r w:rsidRPr="007D6BAF">
        <w:rPr>
          <w:rFonts w:ascii="Times New Roman" w:eastAsia="Times New Roman" w:hAnsi="Times New Roman" w:cs="Times New Roman"/>
          <w:sz w:val="24"/>
          <w:szCs w:val="24"/>
        </w:rPr>
        <w:t>; 34 CFR § 300.5 (1983). In the absence of a handicap that requires special education, the need for what otherwise might qualify as a related service does not create an obligation under the Act. See 34 CFR § 300.14, Comment (1) (1983).</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Second, only those services necessary to aid a handicapped child to benefit from special education must be provided, regardless how easily a school nurse or layperson could furnish them. For example, if a particular medication or treatment may appropriately be administered to a handicapped child other than during the school day, a school is not required to provide nursing services to administer it.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Third, the regulations state that school nursing services must be provided only if they can be performed by a nurse or other qualified person, not if they must be performed by a physician. See 34 CFR §§ 300.13(a), (b</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4), (b)(10) (1983). It bears mentioning that here not even the services of a nurse are required; as is </w:t>
      </w:r>
      <w:proofErr w:type="gramStart"/>
      <w:r w:rsidRPr="007D6BAF">
        <w:rPr>
          <w:rFonts w:ascii="Times New Roman" w:eastAsia="Times New Roman" w:hAnsi="Times New Roman" w:cs="Times New Roman"/>
          <w:sz w:val="24"/>
          <w:szCs w:val="24"/>
        </w:rPr>
        <w:t>conceded,</w:t>
      </w:r>
      <w:proofErr w:type="gramEnd"/>
      <w:r w:rsidRPr="007D6BAF">
        <w:rPr>
          <w:rFonts w:ascii="Times New Roman" w:eastAsia="Times New Roman" w:hAnsi="Times New Roman" w:cs="Times New Roman"/>
          <w:sz w:val="24"/>
          <w:szCs w:val="24"/>
        </w:rPr>
        <w:t xml:space="preserve"> a layperson with minimal training is qualified to provide CIC. See also, e.g., Department of Education of Hawaii v. Katherine D., 727 F.2d 809 (CA9 1983).</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Finally, we note that respondents are not asking petitioner to provide equipment that Amber needs for CIC. Tr. of Oral Arg. 18-19. They seek only the services of a qualified person at the school.</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We conclude that provision of CIC to Amber is not subject to exclusion as a "medical service," and we affirm the Court of Appeals' holding that CIC is a "related service" under the Education of the Handicapped Act.</w:t>
      </w:r>
      <w:bookmarkStart w:id="14" w:name="fn13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"fn13"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b/>
          <w:bCs/>
          <w:color w:val="0000FF"/>
          <w:sz w:val="24"/>
          <w:szCs w:val="24"/>
          <w:u w:val="single"/>
          <w:vertAlign w:val="superscript"/>
        </w:rPr>
        <w:t>13</w:t>
      </w:r>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4"/>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III</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Respondents sought relief not only under the Education of the Handicapped Act but under § 504 of the Rehabilitation Act as well. After finding petitioner liable to provide CIC under the former, the District Court proceeded to hold that petitioner was similarly liable under § 504 and that respondents were therefore entitled to attorney's fees under § 505 of the Rehabilitation Act, </w:t>
      </w:r>
      <w:hyperlink r:id="rId21" w:tooltip="29 U.S.C. 794a" w:history="1">
        <w:r w:rsidRPr="007D6BAF">
          <w:rPr>
            <w:rFonts w:ascii="Times New Roman" w:eastAsia="Times New Roman" w:hAnsi="Times New Roman" w:cs="Times New Roman"/>
            <w:color w:val="0000FF"/>
            <w:sz w:val="24"/>
            <w:szCs w:val="24"/>
            <w:u w:val="single"/>
          </w:rPr>
          <w:t>29 U.S.C. 794a</w:t>
        </w:r>
      </w:hyperlink>
      <w:r w:rsidRPr="007D6BAF">
        <w:rPr>
          <w:rFonts w:ascii="Times New Roman" w:eastAsia="Times New Roman" w:hAnsi="Times New Roman" w:cs="Times New Roman"/>
          <w:sz w:val="24"/>
          <w:szCs w:val="24"/>
        </w:rPr>
        <w:t xml:space="preserve">. We hold today, in Smith v. Robinson, </w:t>
      </w:r>
      <w:hyperlink r:id="rId22" w:tooltip="468 U.S. 992, 104 S.Ct. 345, 82 L.Ed.2d 746 (1984)" w:history="1">
        <w:r w:rsidRPr="007D6BAF">
          <w:rPr>
            <w:rFonts w:ascii="Times New Roman" w:eastAsia="Times New Roman" w:hAnsi="Times New Roman" w:cs="Times New Roman"/>
            <w:color w:val="0000FF"/>
            <w:sz w:val="24"/>
            <w:szCs w:val="24"/>
            <w:u w:val="single"/>
          </w:rPr>
          <w:t xml:space="preserve">468 U.S. 992, 104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345, 82 L.Ed.2d 746 (1984)</w:t>
        </w:r>
      </w:hyperlink>
      <w:r w:rsidRPr="007D6BAF">
        <w:rPr>
          <w:rFonts w:ascii="Times New Roman" w:eastAsia="Times New Roman" w:hAnsi="Times New Roman" w:cs="Times New Roman"/>
          <w:sz w:val="24"/>
          <w:szCs w:val="24"/>
        </w:rPr>
        <w:t xml:space="preserve">, that § 504 is inapplicable when relief is available under the Education of the Handicapped Act to remedy a denial of educational services. Respondents are therefore not entitled to relief under § </w:t>
      </w:r>
      <w:proofErr w:type="gramStart"/>
      <w:r w:rsidRPr="007D6BAF">
        <w:rPr>
          <w:rFonts w:ascii="Times New Roman" w:eastAsia="Times New Roman" w:hAnsi="Times New Roman" w:cs="Times New Roman"/>
          <w:sz w:val="24"/>
          <w:szCs w:val="24"/>
        </w:rPr>
        <w:t>504,</w:t>
      </w:r>
      <w:proofErr w:type="gramEnd"/>
      <w:r w:rsidRPr="007D6BAF">
        <w:rPr>
          <w:rFonts w:ascii="Times New Roman" w:eastAsia="Times New Roman" w:hAnsi="Times New Roman" w:cs="Times New Roman"/>
          <w:sz w:val="24"/>
          <w:szCs w:val="24"/>
        </w:rPr>
        <w:t xml:space="preserve"> and we reverse the Court of Appeals' holding that respondents are entitled to recover attorney's fees. In all other respects, the judgment of the Court of Appeals is affirmed.</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It is so ordered.</w:t>
      </w:r>
    </w:p>
    <w:bookmarkStart w:id="15" w:name="writing-type-12-BRENNANMARSHALL"/>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b/>
          <w:bCs/>
          <w:color w:val="0000FF"/>
          <w:sz w:val="24"/>
          <w:szCs w:val="24"/>
          <w:u w:val="single"/>
        </w:rPr>
        <w:t>TOP</w:t>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sz w:val="24"/>
          <w:szCs w:val="24"/>
        </w:rPr>
        <w:fldChar w:fldCharType="end"/>
      </w:r>
      <w:bookmarkEnd w:id="15"/>
    </w:p>
    <w:p w:rsidR="007D6BAF" w:rsidRPr="007D6BAF" w:rsidRDefault="007D6BAF" w:rsidP="007D6BAF">
      <w:pPr>
        <w:spacing w:after="0"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pict>
          <v:rect id="_x0000_i1026" style="width:0;height:1.5pt" o:hralign="center" o:hrstd="t" o:hr="t" fillcolor="#a0a0a0" stroked="f"/>
        </w:pic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Justice BRENNAN, with whom Justice MARSHALL joins, concurring in part and dissenting in part.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I join all but Part III of the Court's opinion. For the reasons stated in my dissenting opinion in Smith v. Robinson, </w:t>
      </w:r>
      <w:hyperlink r:id="rId23" w:tooltip="468 U.S. 992, 104 S.Ct. 3457, 82 L.Ed.2d 746" w:history="1">
        <w:r w:rsidRPr="007D6BAF">
          <w:rPr>
            <w:rFonts w:ascii="Times New Roman" w:eastAsia="Times New Roman" w:hAnsi="Times New Roman" w:cs="Times New Roman"/>
            <w:color w:val="0000FF"/>
            <w:sz w:val="24"/>
            <w:szCs w:val="24"/>
            <w:u w:val="single"/>
          </w:rPr>
          <w:t xml:space="preserve">468 U.S. 992, 104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3457, 82 L.Ed.2d 746</w:t>
        </w:r>
      </w:hyperlink>
      <w:r w:rsidRPr="007D6BAF">
        <w:rPr>
          <w:rFonts w:ascii="Times New Roman" w:eastAsia="Times New Roman" w:hAnsi="Times New Roman" w:cs="Times New Roman"/>
          <w:sz w:val="24"/>
          <w:szCs w:val="24"/>
        </w:rPr>
        <w:t>, I would affirm the award of attorney's fees to the respondents.</w:t>
      </w:r>
    </w:p>
    <w:bookmarkStart w:id="16" w:name="writing-type-12-STEVENS"/>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fldChar w:fldCharType="begin"/>
      </w:r>
      <w:r w:rsidRPr="007D6BAF">
        <w:rPr>
          <w:rFonts w:ascii="Times New Roman" w:eastAsia="Times New Roman" w:hAnsi="Times New Roman" w:cs="Times New Roman"/>
          <w:sz w:val="24"/>
          <w:szCs w:val="24"/>
        </w:rPr>
        <w:instrText xml:space="preserve"> HYPERLINK "http://www.law.cornell.edu/supremecourt/text/468/883"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b/>
          <w:bCs/>
          <w:color w:val="0000FF"/>
          <w:sz w:val="24"/>
          <w:szCs w:val="24"/>
          <w:u w:val="single"/>
        </w:rPr>
        <w:t>TOP</w:t>
      </w:r>
      <w:r w:rsidRPr="007D6BAF">
        <w:rPr>
          <w:rFonts w:ascii="Times New Roman" w:eastAsia="Times New Roman" w:hAnsi="Times New Roman" w:cs="Times New Roman"/>
          <w:color w:val="0000FF"/>
          <w:sz w:val="24"/>
          <w:szCs w:val="24"/>
          <w:u w:val="single"/>
        </w:rPr>
        <w:t xml:space="preserve"> </w:t>
      </w:r>
      <w:r w:rsidRPr="007D6BAF">
        <w:rPr>
          <w:rFonts w:ascii="Times New Roman" w:eastAsia="Times New Roman" w:hAnsi="Times New Roman" w:cs="Times New Roman"/>
          <w:sz w:val="24"/>
          <w:szCs w:val="24"/>
        </w:rPr>
        <w:fldChar w:fldCharType="end"/>
      </w:r>
      <w:bookmarkEnd w:id="16"/>
    </w:p>
    <w:p w:rsidR="007D6BAF" w:rsidRPr="007D6BAF" w:rsidRDefault="007D6BAF" w:rsidP="007D6BAF">
      <w:pPr>
        <w:spacing w:after="0"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pict>
          <v:rect id="_x0000_i1027" style="width:0;height:1.5pt" o:hralign="center" o:hrstd="t" o:hr="t" fillcolor="#a0a0a0" stroked="f"/>
        </w:pic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Justice STEVENS, concurring in part and dissenting in part.</w:t>
      </w:r>
      <w:proofErr w:type="gramEnd"/>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petition for certiorari did not challenge the award of attorney's fees. It contested only the award of relief on the merits to respondents. Inasmuch as the judgment on the merits is supported by the Court's interpretation of the Education of the Handicapped Act, there is no need to express any opinion concerning the Rehabilitation Act of 1973.</w:t>
      </w:r>
      <w:bookmarkStart w:id="17" w:name="fna1_ref"/>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"fna1"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 xml:space="preserve"> </w:t>
      </w:r>
      <w:proofErr w:type="gramStart"/>
      <w:r w:rsidRPr="007D6BAF">
        <w:rPr>
          <w:rFonts w:ascii="Times New Roman" w:eastAsia="Times New Roman" w:hAnsi="Times New Roman" w:cs="Times New Roman"/>
          <w:b/>
          <w:bCs/>
          <w:color w:val="0000FF"/>
          <w:sz w:val="24"/>
          <w:szCs w:val="24"/>
          <w:u w:val="single"/>
          <w:vertAlign w:val="superscript"/>
        </w:rPr>
        <w:t>a1</w:t>
      </w:r>
      <w:proofErr w:type="gramEnd"/>
      <w:r w:rsidRPr="007D6BAF">
        <w:rPr>
          <w:rFonts w:ascii="Times New Roman" w:eastAsia="Times New Roman" w:hAnsi="Times New Roman" w:cs="Times New Roman"/>
          <w:color w:val="0000FF"/>
          <w:sz w:val="24"/>
          <w:szCs w:val="24"/>
          <w:u w:val="single"/>
          <w:vertAlign w:val="superscript"/>
        </w:rPr>
        <w:t xml:space="preserve"> </w:t>
      </w:r>
      <w:r w:rsidRPr="007D6BAF">
        <w:rPr>
          <w:rFonts w:ascii="Times New Roman" w:eastAsia="Times New Roman" w:hAnsi="Times New Roman" w:cs="Times New Roman"/>
          <w:sz w:val="24"/>
          <w:szCs w:val="24"/>
        </w:rPr>
        <w:fldChar w:fldCharType="end"/>
      </w:r>
      <w:bookmarkEnd w:id="17"/>
      <w:r w:rsidRPr="007D6BAF">
        <w:rPr>
          <w:rFonts w:ascii="Times New Roman" w:eastAsia="Times New Roman" w:hAnsi="Times New Roman" w:cs="Times New Roman"/>
          <w:sz w:val="24"/>
          <w:szCs w:val="24"/>
        </w:rPr>
        <w:t>Accordingly, while I join Parts I and II of the Court's opinion, I do not join Part III.</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CC</w:t>
      </w:r>
      <w:r w:rsidRPr="007D6BAF">
        <w:rPr>
          <w:rFonts w:ascii="Cambria Math" w:eastAsia="Times New Roman" w:hAnsi="Cambria Math" w:cs="Cambria Math"/>
          <w:sz w:val="24"/>
          <w:szCs w:val="24"/>
        </w:rPr>
        <w:t>∅</w:t>
      </w:r>
      <w:r w:rsidRPr="007D6BAF">
        <w:rPr>
          <w:rFonts w:ascii="Times New Roman" w:eastAsia="Times New Roman" w:hAnsi="Times New Roman" w:cs="Times New Roman"/>
          <w:sz w:val="24"/>
          <w:szCs w:val="24"/>
        </w:rPr>
        <w:t xml:space="preserve"> | Transformed by Public.Resource.Org</w:t>
      </w:r>
    </w:p>
    <w:bookmarkStart w:id="18" w:name="fn1"/>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1</w:t>
      </w:r>
      <w:r w:rsidRPr="007D6BAF">
        <w:rPr>
          <w:rFonts w:ascii="Times New Roman" w:eastAsia="Times New Roman" w:hAnsi="Times New Roman" w:cs="Times New Roman"/>
          <w:sz w:val="24"/>
          <w:szCs w:val="24"/>
        </w:rPr>
        <w:fldChar w:fldCharType="end"/>
      </w:r>
      <w:bookmarkEnd w:id="18"/>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Education of the Handicapped Act's procedures for administrative hearings </w:t>
      </w:r>
      <w:proofErr w:type="gramStart"/>
      <w:r w:rsidRPr="007D6BAF">
        <w:rPr>
          <w:rFonts w:ascii="Times New Roman" w:eastAsia="Times New Roman" w:hAnsi="Times New Roman" w:cs="Times New Roman"/>
          <w:sz w:val="24"/>
          <w:szCs w:val="24"/>
        </w:rPr>
        <w:t>are</w:t>
      </w:r>
      <w:proofErr w:type="gramEnd"/>
      <w:r w:rsidRPr="007D6BAF">
        <w:rPr>
          <w:rFonts w:ascii="Times New Roman" w:eastAsia="Times New Roman" w:hAnsi="Times New Roman" w:cs="Times New Roman"/>
          <w:sz w:val="24"/>
          <w:szCs w:val="24"/>
        </w:rPr>
        <w:t xml:space="preserve"> set out in </w:t>
      </w:r>
      <w:hyperlink r:id="rId24" w:tooltip="20 U.S.C. 1415" w:history="1">
        <w:r w:rsidRPr="007D6BAF">
          <w:rPr>
            <w:rFonts w:ascii="Times New Roman" w:eastAsia="Times New Roman" w:hAnsi="Times New Roman" w:cs="Times New Roman"/>
            <w:color w:val="0000FF"/>
            <w:sz w:val="24"/>
            <w:szCs w:val="24"/>
            <w:u w:val="single"/>
          </w:rPr>
          <w:t>20 U.S.C. 1415</w:t>
        </w:r>
      </w:hyperlink>
      <w:r w:rsidRPr="007D6BAF">
        <w:rPr>
          <w:rFonts w:ascii="Times New Roman" w:eastAsia="Times New Roman" w:hAnsi="Times New Roman" w:cs="Times New Roman"/>
          <w:sz w:val="24"/>
          <w:szCs w:val="24"/>
        </w:rPr>
        <w:t>. In this case a hearing officer ruled that the Education of the Handicapped Act did require the school to provide CIC, and the Texas Commissioner of Education adopted the hearing officer's decision. The State Board of Education reversed, holding that the Act did not require petitioner to provide CIC.</w:t>
      </w:r>
    </w:p>
    <w:bookmarkStart w:id="19" w:name="fn2"/>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"fn2_ref"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2</w:t>
      </w:r>
      <w:r w:rsidRPr="007D6BAF">
        <w:rPr>
          <w:rFonts w:ascii="Times New Roman" w:eastAsia="Times New Roman" w:hAnsi="Times New Roman" w:cs="Times New Roman"/>
          <w:sz w:val="24"/>
          <w:szCs w:val="24"/>
        </w:rPr>
        <w:fldChar w:fldCharType="end"/>
      </w:r>
      <w:bookmarkEnd w:id="19"/>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As discussed more fully later, the Education of the Handicapped Act defines "related services" to include "supportive services (including . . . medical and counseling services, except that such medical services shall be for diagnostic and evaluation purposes only) as may be required to assist a handicapped child to benefit from special education." </w:t>
      </w:r>
      <w:hyperlink r:id="rId25" w:anchor="17" w:tooltip="20 U.S.C. 1401(17)" w:history="1">
        <w:r w:rsidRPr="007D6BAF">
          <w:rPr>
            <w:rFonts w:ascii="Times New Roman" w:eastAsia="Times New Roman" w:hAnsi="Times New Roman" w:cs="Times New Roman"/>
            <w:color w:val="0000FF"/>
            <w:sz w:val="24"/>
            <w:szCs w:val="24"/>
            <w:u w:val="single"/>
          </w:rPr>
          <w:t>20 U.S.C. 1401(17)</w:t>
        </w:r>
      </w:hyperlink>
      <w:r w:rsidRPr="007D6BAF">
        <w:rPr>
          <w:rFonts w:ascii="Times New Roman" w:eastAsia="Times New Roman" w:hAnsi="Times New Roman" w:cs="Times New Roman"/>
          <w:sz w:val="24"/>
          <w:szCs w:val="24"/>
        </w:rPr>
        <w:t>.</w:t>
      </w:r>
    </w:p>
    <w:bookmarkStart w:id="20" w:name="fn3"/>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"fn3_ref"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3</w:t>
      </w:r>
      <w:r w:rsidRPr="007D6BAF">
        <w:rPr>
          <w:rFonts w:ascii="Times New Roman" w:eastAsia="Times New Roman" w:hAnsi="Times New Roman" w:cs="Times New Roman"/>
          <w:sz w:val="24"/>
          <w:szCs w:val="24"/>
        </w:rPr>
        <w:fldChar w:fldCharType="end"/>
      </w:r>
      <w:bookmarkEnd w:id="20"/>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District Court dismissed the claims against all defendants other than petitioner and the State Board, though it retained the members of the State Board "in their official capacities for the purpose of injunctive relief." 516 </w:t>
      </w:r>
      <w:proofErr w:type="spellStart"/>
      <w:proofErr w:type="gramStart"/>
      <w:r w:rsidRPr="007D6BAF">
        <w:rPr>
          <w:rFonts w:ascii="Times New Roman" w:eastAsia="Times New Roman" w:hAnsi="Times New Roman" w:cs="Times New Roman"/>
          <w:sz w:val="24"/>
          <w:szCs w:val="24"/>
        </w:rPr>
        <w:t>F.Supp</w:t>
      </w:r>
      <w:proofErr w:type="spellEnd"/>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at 972-974.</w:t>
      </w:r>
    </w:p>
    <w:bookmarkStart w:id="21" w:name="fn4"/>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"fn4_ref"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4</w:t>
      </w:r>
      <w:r w:rsidRPr="007D6BAF">
        <w:rPr>
          <w:rFonts w:ascii="Times New Roman" w:eastAsia="Times New Roman" w:hAnsi="Times New Roman" w:cs="Times New Roman"/>
          <w:sz w:val="24"/>
          <w:szCs w:val="24"/>
        </w:rPr>
        <w:fldChar w:fldCharType="end"/>
      </w:r>
      <w:bookmarkEnd w:id="21"/>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District Court held that § 505 of the Rehabilitation Act, </w:t>
      </w:r>
      <w:hyperlink r:id="rId26" w:tooltip="29 U.S.C. 794a" w:history="1">
        <w:r w:rsidRPr="007D6BAF">
          <w:rPr>
            <w:rFonts w:ascii="Times New Roman" w:eastAsia="Times New Roman" w:hAnsi="Times New Roman" w:cs="Times New Roman"/>
            <w:color w:val="0000FF"/>
            <w:sz w:val="24"/>
            <w:szCs w:val="24"/>
            <w:u w:val="single"/>
          </w:rPr>
          <w:t>29 U.S.C. 794a</w:t>
        </w:r>
      </w:hyperlink>
      <w:r w:rsidRPr="007D6BAF">
        <w:rPr>
          <w:rFonts w:ascii="Times New Roman" w:eastAsia="Times New Roman" w:hAnsi="Times New Roman" w:cs="Times New Roman"/>
          <w:sz w:val="24"/>
          <w:szCs w:val="24"/>
        </w:rPr>
        <w:t>, which authorizes attorney's fees as a part of a prevailing party's costs, abrogated the State Board's immunity under the Eleventh Amendment. See App. to Pet. for Cert. 56a-60a. The State Board did not petition for certiorari, and the Eleventh Amendment issue is not before us.</w:t>
      </w:r>
    </w:p>
    <w:bookmarkStart w:id="22" w:name="fn5"/>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"fn5_ref"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5</w:t>
      </w:r>
      <w:r w:rsidRPr="007D6BAF">
        <w:rPr>
          <w:rFonts w:ascii="Times New Roman" w:eastAsia="Times New Roman" w:hAnsi="Times New Roman" w:cs="Times New Roman"/>
          <w:sz w:val="24"/>
          <w:szCs w:val="24"/>
        </w:rPr>
        <w:fldChar w:fldCharType="end"/>
      </w:r>
      <w:bookmarkEnd w:id="22"/>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Specifically, the "special education and related services" must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 xml:space="preserve">"(A) </w:t>
      </w:r>
      <w:proofErr w:type="gramStart"/>
      <w:r w:rsidRPr="007D6BAF">
        <w:rPr>
          <w:rFonts w:ascii="Times New Roman" w:eastAsia="Times New Roman" w:hAnsi="Times New Roman" w:cs="Times New Roman"/>
          <w:sz w:val="24"/>
          <w:szCs w:val="24"/>
        </w:rPr>
        <w:t>have</w:t>
      </w:r>
      <w:proofErr w:type="gramEnd"/>
      <w:r w:rsidRPr="007D6BAF">
        <w:rPr>
          <w:rFonts w:ascii="Times New Roman" w:eastAsia="Times New Roman" w:hAnsi="Times New Roman" w:cs="Times New Roman"/>
          <w:sz w:val="24"/>
          <w:szCs w:val="24"/>
        </w:rPr>
        <w:t xml:space="preserve"> been provided at public expense, under public supervision and direction, and without charge, (B) meet the standards of the State educational agency, (C) include an appropriate preschool, elementary, or secondary school education in the State involved, and (D) [be] provided in conformity with the individualized education program required under section 1414(a)(5) of this title." § 1401(18).</w:t>
      </w:r>
    </w:p>
    <w:bookmarkStart w:id="23" w:name="fn6"/>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"fn6_ref"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6</w:t>
      </w:r>
      <w:r w:rsidRPr="007D6BAF">
        <w:rPr>
          <w:rFonts w:ascii="Times New Roman" w:eastAsia="Times New Roman" w:hAnsi="Times New Roman" w:cs="Times New Roman"/>
          <w:sz w:val="24"/>
          <w:szCs w:val="24"/>
        </w:rPr>
        <w:fldChar w:fldCharType="end"/>
      </w:r>
      <w:bookmarkEnd w:id="23"/>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Petitioner claims that courts deciding cases arising under the Education of the Handicapped Act are limited to inquiring whether a school district has followed the requirements of the state plan and has followed the Act's procedural requirements. However, we held in Board of Education of </w:t>
      </w:r>
      <w:proofErr w:type="spellStart"/>
      <w:r w:rsidRPr="007D6BAF">
        <w:rPr>
          <w:rFonts w:ascii="Times New Roman" w:eastAsia="Times New Roman" w:hAnsi="Times New Roman" w:cs="Times New Roman"/>
          <w:sz w:val="24"/>
          <w:szCs w:val="24"/>
        </w:rPr>
        <w:t>Hendrick</w:t>
      </w:r>
      <w:proofErr w:type="spellEnd"/>
      <w:r w:rsidRPr="007D6BAF">
        <w:rPr>
          <w:rFonts w:ascii="Times New Roman" w:eastAsia="Times New Roman" w:hAnsi="Times New Roman" w:cs="Times New Roman"/>
          <w:sz w:val="24"/>
          <w:szCs w:val="24"/>
        </w:rPr>
        <w:t xml:space="preserve"> Hudson Central School District v. Rowley, </w:t>
      </w:r>
      <w:hyperlink r:id="rId27" w:tooltip="458 U.S. 176, 206, n. 27, 102 S.Ct. 3034, 3051, n. 27 (1982)" w:history="1">
        <w:r w:rsidRPr="007D6BAF">
          <w:rPr>
            <w:rFonts w:ascii="Times New Roman" w:eastAsia="Times New Roman" w:hAnsi="Times New Roman" w:cs="Times New Roman"/>
            <w:color w:val="0000FF"/>
            <w:sz w:val="24"/>
            <w:szCs w:val="24"/>
            <w:u w:val="single"/>
          </w:rPr>
          <w:t xml:space="preserve">458 U.S. 176, 206, n. 27, 102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3034, 3051, n. 27 (1982)</w:t>
        </w:r>
      </w:hyperlink>
      <w:r w:rsidRPr="007D6BAF">
        <w:rPr>
          <w:rFonts w:ascii="Times New Roman" w:eastAsia="Times New Roman" w:hAnsi="Times New Roman" w:cs="Times New Roman"/>
          <w:sz w:val="24"/>
          <w:szCs w:val="24"/>
        </w:rPr>
        <w:t>, that a court is required "not only to satisfy itself that the State has adopted the state plan, policies, and assurances required by the Act, but also to determine that the State has created an [individualized education plan] for the child in question which conforms with the requirements of § 1401(19) [defining such plans]." Judicial review is equally appropriate in this case, which presents the legal question of a school's substantive obligation under the "related services" requirement of § 1401(17).</w:t>
      </w:r>
    </w:p>
    <w:bookmarkStart w:id="24" w:name="fn7"/>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"fn7_ref"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7</w:t>
      </w:r>
      <w:r w:rsidRPr="007D6BAF">
        <w:rPr>
          <w:rFonts w:ascii="Times New Roman" w:eastAsia="Times New Roman" w:hAnsi="Times New Roman" w:cs="Times New Roman"/>
          <w:sz w:val="24"/>
          <w:szCs w:val="24"/>
        </w:rPr>
        <w:fldChar w:fldCharType="end"/>
      </w:r>
      <w:bookmarkEnd w:id="24"/>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Department of Education has agreed with this reasoning in an interpretive ruling that specifically found CIC to be a "related service." </w:t>
      </w:r>
      <w:proofErr w:type="gramStart"/>
      <w:r w:rsidRPr="007D6BAF">
        <w:rPr>
          <w:rFonts w:ascii="Times New Roman" w:eastAsia="Times New Roman" w:hAnsi="Times New Roman" w:cs="Times New Roman"/>
          <w:sz w:val="24"/>
          <w:szCs w:val="24"/>
        </w:rPr>
        <w:t xml:space="preserve">46 </w:t>
      </w:r>
      <w:proofErr w:type="spellStart"/>
      <w:r w:rsidRPr="007D6BAF">
        <w:rPr>
          <w:rFonts w:ascii="Times New Roman" w:eastAsia="Times New Roman" w:hAnsi="Times New Roman" w:cs="Times New Roman"/>
          <w:sz w:val="24"/>
          <w:szCs w:val="24"/>
        </w:rPr>
        <w:t>Fed.Reg</w:t>
      </w:r>
      <w:proofErr w:type="spellEnd"/>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4912 (1981).</w:t>
      </w:r>
      <w:proofErr w:type="gramEnd"/>
      <w:r w:rsidRPr="007D6BAF">
        <w:rPr>
          <w:rFonts w:ascii="Times New Roman" w:eastAsia="Times New Roman" w:hAnsi="Times New Roman" w:cs="Times New Roman"/>
          <w:sz w:val="24"/>
          <w:szCs w:val="24"/>
        </w:rPr>
        <w:t xml:space="preserve"> Accord, </w:t>
      </w:r>
      <w:proofErr w:type="spellStart"/>
      <w:r w:rsidRPr="007D6BAF">
        <w:rPr>
          <w:rFonts w:ascii="Times New Roman" w:eastAsia="Times New Roman" w:hAnsi="Times New Roman" w:cs="Times New Roman"/>
          <w:sz w:val="24"/>
          <w:szCs w:val="24"/>
        </w:rPr>
        <w:t>Tokarcik</w:t>
      </w:r>
      <w:proofErr w:type="spellEnd"/>
      <w:r w:rsidRPr="007D6BAF">
        <w:rPr>
          <w:rFonts w:ascii="Times New Roman" w:eastAsia="Times New Roman" w:hAnsi="Times New Roman" w:cs="Times New Roman"/>
          <w:sz w:val="24"/>
          <w:szCs w:val="24"/>
        </w:rPr>
        <w:t xml:space="preserve"> v. Forest Hills School District, 665 F.2d 443 (CA3 1981), cert. denied sub nom. Scanlon v. </w:t>
      </w:r>
      <w:proofErr w:type="spellStart"/>
      <w:r w:rsidRPr="007D6BAF">
        <w:rPr>
          <w:rFonts w:ascii="Times New Roman" w:eastAsia="Times New Roman" w:hAnsi="Times New Roman" w:cs="Times New Roman"/>
          <w:sz w:val="24"/>
          <w:szCs w:val="24"/>
        </w:rPr>
        <w:t>Tokarcik</w:t>
      </w:r>
      <w:proofErr w:type="spellEnd"/>
      <w:r w:rsidRPr="007D6BAF">
        <w:rPr>
          <w:rFonts w:ascii="Times New Roman" w:eastAsia="Times New Roman" w:hAnsi="Times New Roman" w:cs="Times New Roman"/>
          <w:sz w:val="24"/>
          <w:szCs w:val="24"/>
        </w:rPr>
        <w:t xml:space="preserve">, </w:t>
      </w:r>
      <w:hyperlink r:id="rId28" w:tooltip="458 U.S. 1121, 102 S.Ct. 3508, 73 L.Ed.2d 1383 (1982)" w:history="1">
        <w:r w:rsidRPr="007D6BAF">
          <w:rPr>
            <w:rFonts w:ascii="Times New Roman" w:eastAsia="Times New Roman" w:hAnsi="Times New Roman" w:cs="Times New Roman"/>
            <w:color w:val="0000FF"/>
            <w:sz w:val="24"/>
            <w:szCs w:val="24"/>
            <w:u w:val="single"/>
          </w:rPr>
          <w:t xml:space="preserve">458 U.S. 1121, 102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3508, 73 L.Ed.2d 1383 (1982)</w:t>
        </w:r>
      </w:hyperlink>
      <w:r w:rsidRPr="007D6BAF">
        <w:rPr>
          <w:rFonts w:ascii="Times New Roman" w:eastAsia="Times New Roman" w:hAnsi="Times New Roman" w:cs="Times New Roman"/>
          <w:sz w:val="24"/>
          <w:szCs w:val="24"/>
        </w:rPr>
        <w:t xml:space="preserve">. The Secretary twice postponed temporarily the effective date of this interpretive ruling, see 46 </w:t>
      </w:r>
      <w:proofErr w:type="spellStart"/>
      <w:r w:rsidRPr="007D6BAF">
        <w:rPr>
          <w:rFonts w:ascii="Times New Roman" w:eastAsia="Times New Roman" w:hAnsi="Times New Roman" w:cs="Times New Roman"/>
          <w:sz w:val="24"/>
          <w:szCs w:val="24"/>
        </w:rPr>
        <w:t>Fed.Reg</w:t>
      </w:r>
      <w:proofErr w:type="spellEnd"/>
      <w:r w:rsidRPr="007D6BAF">
        <w:rPr>
          <w:rFonts w:ascii="Times New Roman" w:eastAsia="Times New Roman" w:hAnsi="Times New Roman" w:cs="Times New Roman"/>
          <w:sz w:val="24"/>
          <w:szCs w:val="24"/>
        </w:rPr>
        <w:t xml:space="preserve">. 12495 (1981); id., at 18975, and later postponed it indefinitely, id., at 25614. But the Department presently does view CIC services as an allowable cost under Part B of the Act. </w:t>
      </w:r>
      <w:proofErr w:type="gramStart"/>
      <w:r w:rsidRPr="007D6BAF">
        <w:rPr>
          <w:rFonts w:ascii="Times New Roman" w:eastAsia="Times New Roman" w:hAnsi="Times New Roman" w:cs="Times New Roman"/>
          <w:sz w:val="24"/>
          <w:szCs w:val="24"/>
        </w:rPr>
        <w:t>Ibid.</w:t>
      </w:r>
      <w:proofErr w:type="gramEnd"/>
    </w:p>
    <w:bookmarkStart w:id="25" w:name="fn8"/>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"fn8_ref"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8</w:t>
      </w:r>
      <w:r w:rsidRPr="007D6BAF">
        <w:rPr>
          <w:rFonts w:ascii="Times New Roman" w:eastAsia="Times New Roman" w:hAnsi="Times New Roman" w:cs="Times New Roman"/>
          <w:sz w:val="24"/>
          <w:szCs w:val="24"/>
        </w:rPr>
        <w:fldChar w:fldCharType="end"/>
      </w:r>
      <w:bookmarkEnd w:id="25"/>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obligation to provide special education and related services is expressly phrased as a "</w:t>
      </w:r>
      <w:proofErr w:type="spellStart"/>
      <w:r w:rsidRPr="007D6BAF">
        <w:rPr>
          <w:rFonts w:ascii="Times New Roman" w:eastAsia="Times New Roman" w:hAnsi="Times New Roman" w:cs="Times New Roman"/>
          <w:sz w:val="24"/>
          <w:szCs w:val="24"/>
        </w:rPr>
        <w:t>conditio</w:t>
      </w:r>
      <w:proofErr w:type="spellEnd"/>
      <w:r w:rsidRPr="007D6BAF">
        <w:rPr>
          <w:rFonts w:ascii="Times New Roman" w:eastAsia="Times New Roman" w:hAnsi="Times New Roman" w:cs="Times New Roman"/>
          <w:sz w:val="24"/>
          <w:szCs w:val="24"/>
        </w:rPr>
        <w:t xml:space="preserve">[n]" for a state to receive funds under the Act. See </w:t>
      </w:r>
      <w:hyperlink r:id="rId29" w:tooltip="20 U.S.C. 1412" w:history="1">
        <w:r w:rsidRPr="007D6BAF">
          <w:rPr>
            <w:rFonts w:ascii="Times New Roman" w:eastAsia="Times New Roman" w:hAnsi="Times New Roman" w:cs="Times New Roman"/>
            <w:color w:val="0000FF"/>
            <w:sz w:val="24"/>
            <w:szCs w:val="24"/>
            <w:u w:val="single"/>
          </w:rPr>
          <w:t>20 U.S.C. 1412</w:t>
        </w:r>
      </w:hyperlink>
      <w:r w:rsidRPr="007D6BAF">
        <w:rPr>
          <w:rFonts w:ascii="Times New Roman" w:eastAsia="Times New Roman" w:hAnsi="Times New Roman" w:cs="Times New Roman"/>
          <w:sz w:val="24"/>
          <w:szCs w:val="24"/>
        </w:rPr>
        <w:t xml:space="preserve">; see also </w:t>
      </w:r>
      <w:proofErr w:type="spellStart"/>
      <w:r w:rsidRPr="007D6BAF">
        <w:rPr>
          <w:rFonts w:ascii="Times New Roman" w:eastAsia="Times New Roman" w:hAnsi="Times New Roman" w:cs="Times New Roman"/>
          <w:sz w:val="24"/>
          <w:szCs w:val="24"/>
        </w:rPr>
        <w:t>S.Rep</w:t>
      </w:r>
      <w:proofErr w:type="spell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No. 94-168, p. 16 (1975).</w:t>
      </w:r>
      <w:proofErr w:type="gramEnd"/>
      <w:r w:rsidRPr="007D6BAF">
        <w:rPr>
          <w:rFonts w:ascii="Times New Roman" w:eastAsia="Times New Roman" w:hAnsi="Times New Roman" w:cs="Times New Roman"/>
          <w:sz w:val="24"/>
          <w:szCs w:val="24"/>
        </w:rPr>
        <w:t xml:space="preserve"> This refutes petitioner's contention that the Act did not "</w:t>
      </w:r>
      <w:proofErr w:type="spellStart"/>
      <w:r w:rsidRPr="007D6BAF">
        <w:rPr>
          <w:rFonts w:ascii="Times New Roman" w:eastAsia="Times New Roman" w:hAnsi="Times New Roman" w:cs="Times New Roman"/>
          <w:sz w:val="24"/>
          <w:szCs w:val="24"/>
        </w:rPr>
        <w:t>impos</w:t>
      </w:r>
      <w:proofErr w:type="spellEnd"/>
      <w:r w:rsidRPr="007D6BAF">
        <w:rPr>
          <w:rFonts w:ascii="Times New Roman" w:eastAsia="Times New Roman" w:hAnsi="Times New Roman" w:cs="Times New Roman"/>
          <w:sz w:val="24"/>
          <w:szCs w:val="24"/>
        </w:rPr>
        <w:t xml:space="preserve">[e] an obligation on the States to spend state money to fund certain rights as a condition of receiving federal moneys" but "spoke merely in </w:t>
      </w:r>
      <w:proofErr w:type="spellStart"/>
      <w:r w:rsidRPr="007D6BAF">
        <w:rPr>
          <w:rFonts w:ascii="Times New Roman" w:eastAsia="Times New Roman" w:hAnsi="Times New Roman" w:cs="Times New Roman"/>
          <w:sz w:val="24"/>
          <w:szCs w:val="24"/>
        </w:rPr>
        <w:t>precatory</w:t>
      </w:r>
      <w:proofErr w:type="spellEnd"/>
      <w:r w:rsidRPr="007D6BAF">
        <w:rPr>
          <w:rFonts w:ascii="Times New Roman" w:eastAsia="Times New Roman" w:hAnsi="Times New Roman" w:cs="Times New Roman"/>
          <w:sz w:val="24"/>
          <w:szCs w:val="24"/>
        </w:rPr>
        <w:t xml:space="preserve"> terms," </w:t>
      </w:r>
      <w:proofErr w:type="spellStart"/>
      <w:r w:rsidRPr="007D6BAF">
        <w:rPr>
          <w:rFonts w:ascii="Times New Roman" w:eastAsia="Times New Roman" w:hAnsi="Times New Roman" w:cs="Times New Roman"/>
          <w:sz w:val="24"/>
          <w:szCs w:val="24"/>
        </w:rPr>
        <w:t>Pennhurst</w:t>
      </w:r>
      <w:proofErr w:type="spellEnd"/>
      <w:r w:rsidRPr="007D6BAF">
        <w:rPr>
          <w:rFonts w:ascii="Times New Roman" w:eastAsia="Times New Roman" w:hAnsi="Times New Roman" w:cs="Times New Roman"/>
          <w:sz w:val="24"/>
          <w:szCs w:val="24"/>
        </w:rPr>
        <w:t xml:space="preserve"> State School and Hospital v. </w:t>
      </w:r>
      <w:proofErr w:type="spellStart"/>
      <w:r w:rsidRPr="007D6BAF">
        <w:rPr>
          <w:rFonts w:ascii="Times New Roman" w:eastAsia="Times New Roman" w:hAnsi="Times New Roman" w:cs="Times New Roman"/>
          <w:sz w:val="24"/>
          <w:szCs w:val="24"/>
        </w:rPr>
        <w:t>Halderman</w:t>
      </w:r>
      <w:proofErr w:type="spellEnd"/>
      <w:r w:rsidRPr="007D6BAF">
        <w:rPr>
          <w:rFonts w:ascii="Times New Roman" w:eastAsia="Times New Roman" w:hAnsi="Times New Roman" w:cs="Times New Roman"/>
          <w:sz w:val="24"/>
          <w:szCs w:val="24"/>
        </w:rPr>
        <w:t xml:space="preserve">, </w:t>
      </w:r>
      <w:hyperlink r:id="rId30" w:tooltip="451 U.S. 1, 18, 101 S.Ct. 1531, 1540, 67 L.Ed.2d 694 (1981)" w:history="1">
        <w:r w:rsidRPr="007D6BAF">
          <w:rPr>
            <w:rFonts w:ascii="Times New Roman" w:eastAsia="Times New Roman" w:hAnsi="Times New Roman" w:cs="Times New Roman"/>
            <w:color w:val="0000FF"/>
            <w:sz w:val="24"/>
            <w:szCs w:val="24"/>
            <w:u w:val="single"/>
          </w:rPr>
          <w:t xml:space="preserve">451 U.S. 1, 18, 101 </w:t>
        </w:r>
        <w:proofErr w:type="spellStart"/>
        <w:r w:rsidRPr="007D6BAF">
          <w:rPr>
            <w:rFonts w:ascii="Times New Roman" w:eastAsia="Times New Roman" w:hAnsi="Times New Roman" w:cs="Times New Roman"/>
            <w:color w:val="0000FF"/>
            <w:sz w:val="24"/>
            <w:szCs w:val="24"/>
            <w:u w:val="single"/>
          </w:rPr>
          <w:t>S.Ct</w:t>
        </w:r>
        <w:proofErr w:type="spellEnd"/>
        <w:r w:rsidRPr="007D6BAF">
          <w:rPr>
            <w:rFonts w:ascii="Times New Roman" w:eastAsia="Times New Roman" w:hAnsi="Times New Roman" w:cs="Times New Roman"/>
            <w:color w:val="0000FF"/>
            <w:sz w:val="24"/>
            <w:szCs w:val="24"/>
            <w:u w:val="single"/>
          </w:rPr>
          <w:t>. 1531, 1540, 67 L.Ed.2d 694 (1981)</w:t>
        </w:r>
      </w:hyperlink>
      <w:r w:rsidRPr="007D6BAF">
        <w:rPr>
          <w:rFonts w:ascii="Times New Roman" w:eastAsia="Times New Roman" w:hAnsi="Times New Roman" w:cs="Times New Roman"/>
          <w:sz w:val="24"/>
          <w:szCs w:val="24"/>
        </w:rPr>
        <w:t>.</w:t>
      </w:r>
    </w:p>
    <w:bookmarkStart w:id="26" w:name="fn9"/>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"fn9_ref"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9</w:t>
      </w:r>
      <w:r w:rsidRPr="007D6BAF">
        <w:rPr>
          <w:rFonts w:ascii="Times New Roman" w:eastAsia="Times New Roman" w:hAnsi="Times New Roman" w:cs="Times New Roman"/>
          <w:sz w:val="24"/>
          <w:szCs w:val="24"/>
        </w:rPr>
        <w:fldChar w:fldCharType="end"/>
      </w:r>
      <w:bookmarkEnd w:id="26"/>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The Secretary of Education is empowered to issue such regulations as may be necessary to carry out the provisions of the Act. </w:t>
      </w:r>
      <w:hyperlink r:id="rId31" w:anchor="b" w:tooltip="20 U.S.C. 1417(b)" w:history="1">
        <w:proofErr w:type="gramStart"/>
        <w:r w:rsidRPr="007D6BAF">
          <w:rPr>
            <w:rFonts w:ascii="Times New Roman" w:eastAsia="Times New Roman" w:hAnsi="Times New Roman" w:cs="Times New Roman"/>
            <w:color w:val="0000FF"/>
            <w:sz w:val="24"/>
            <w:szCs w:val="24"/>
            <w:u w:val="single"/>
          </w:rPr>
          <w:t>20 U.S.C. 1417(b)</w:t>
        </w:r>
      </w:hyperlink>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 This function was initially vested in the Commissioner of Education of the Department of Health, Education, and Welfare, who promulgated the regulations in question. This function was transferred to the Secretary of Education when Congress created that position, see Department of Education Organization Act, §§ 301(a</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 xml:space="preserve">1), (2)(H), 93 Stat. 677, </w:t>
      </w:r>
      <w:hyperlink r:id="rId32" w:anchor="a_1" w:tooltip="20 U.S.C. 3441(a)(1)" w:history="1">
        <w:r w:rsidRPr="007D6BAF">
          <w:rPr>
            <w:rFonts w:ascii="Times New Roman" w:eastAsia="Times New Roman" w:hAnsi="Times New Roman" w:cs="Times New Roman"/>
            <w:color w:val="0000FF"/>
            <w:sz w:val="24"/>
            <w:szCs w:val="24"/>
            <w:u w:val="single"/>
          </w:rPr>
          <w:t>20 U.S.C. 3441(a)(1)</w:t>
        </w:r>
      </w:hyperlink>
      <w:r w:rsidRPr="007D6BAF">
        <w:rPr>
          <w:rFonts w:ascii="Times New Roman" w:eastAsia="Times New Roman" w:hAnsi="Times New Roman" w:cs="Times New Roman"/>
          <w:sz w:val="24"/>
          <w:szCs w:val="24"/>
        </w:rPr>
        <w:t>, (2)(H).</w:t>
      </w:r>
    </w:p>
    <w:bookmarkStart w:id="27" w:name="fn10"/>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fldChar w:fldCharType="begin"/>
      </w:r>
      <w:r w:rsidRPr="007D6BAF">
        <w:rPr>
          <w:rFonts w:ascii="Times New Roman" w:eastAsia="Times New Roman" w:hAnsi="Times New Roman" w:cs="Times New Roman"/>
          <w:sz w:val="24"/>
          <w:szCs w:val="24"/>
        </w:rPr>
        <w:instrText xml:space="preserve"> HYPERLINK "http://www.law.cornell.edu/supremecourt/text/468/883" \l "fn10_ref"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10</w:t>
      </w:r>
      <w:r w:rsidRPr="007D6BAF">
        <w:rPr>
          <w:rFonts w:ascii="Times New Roman" w:eastAsia="Times New Roman" w:hAnsi="Times New Roman" w:cs="Times New Roman"/>
          <w:sz w:val="24"/>
          <w:szCs w:val="24"/>
        </w:rPr>
        <w:fldChar w:fldCharType="end"/>
      </w:r>
      <w:bookmarkEnd w:id="27"/>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regulations actually define only those "medical services" that are owed to handicapped children: "services provided by a licensed physician to determine a child's medically related handicapping condition which results in the child's need for special education and related services." 34 CFR § 300.13(b</w:t>
      </w:r>
      <w:proofErr w:type="gramStart"/>
      <w:r w:rsidRPr="007D6BAF">
        <w:rPr>
          <w:rFonts w:ascii="Times New Roman" w:eastAsia="Times New Roman" w:hAnsi="Times New Roman" w:cs="Times New Roman"/>
          <w:sz w:val="24"/>
          <w:szCs w:val="24"/>
        </w:rPr>
        <w:t>)(</w:t>
      </w:r>
      <w:proofErr w:type="gramEnd"/>
      <w:r w:rsidRPr="007D6BAF">
        <w:rPr>
          <w:rFonts w:ascii="Times New Roman" w:eastAsia="Times New Roman" w:hAnsi="Times New Roman" w:cs="Times New Roman"/>
          <w:sz w:val="24"/>
          <w:szCs w:val="24"/>
        </w:rPr>
        <w:t>4) (1983). Presumably this means that "medical services" not owed under the statute are those "services by a licensed physician" that serve other purposes.</w:t>
      </w:r>
    </w:p>
    <w:bookmarkStart w:id="28" w:name="fn11"/>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"fn11_ref"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11</w:t>
      </w:r>
      <w:r w:rsidRPr="007D6BAF">
        <w:rPr>
          <w:rFonts w:ascii="Times New Roman" w:eastAsia="Times New Roman" w:hAnsi="Times New Roman" w:cs="Times New Roman"/>
          <w:sz w:val="24"/>
          <w:szCs w:val="24"/>
        </w:rPr>
        <w:fldChar w:fldCharType="end"/>
      </w:r>
      <w:bookmarkEnd w:id="28"/>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Children with serious medical needs are still entitled to an education. For example, the Act specifically includes instruction in hospitals and at home within the definition of "special education." See </w:t>
      </w:r>
      <w:hyperlink r:id="rId33" w:anchor="16" w:tooltip="20 U.S.C. 1401(16)" w:history="1">
        <w:r w:rsidRPr="007D6BAF">
          <w:rPr>
            <w:rFonts w:ascii="Times New Roman" w:eastAsia="Times New Roman" w:hAnsi="Times New Roman" w:cs="Times New Roman"/>
            <w:color w:val="0000FF"/>
            <w:sz w:val="24"/>
            <w:szCs w:val="24"/>
            <w:u w:val="single"/>
          </w:rPr>
          <w:t>20 U.S.C. 1401(16)</w:t>
        </w:r>
      </w:hyperlink>
      <w:r w:rsidRPr="007D6BAF">
        <w:rPr>
          <w:rFonts w:ascii="Times New Roman" w:eastAsia="Times New Roman" w:hAnsi="Times New Roman" w:cs="Times New Roman"/>
          <w:sz w:val="24"/>
          <w:szCs w:val="24"/>
        </w:rPr>
        <w:t>.</w:t>
      </w:r>
    </w:p>
    <w:bookmarkStart w:id="29" w:name="fn12"/>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"fn12_ref"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12</w:t>
      </w:r>
      <w:r w:rsidRPr="007D6BAF">
        <w:rPr>
          <w:rFonts w:ascii="Times New Roman" w:eastAsia="Times New Roman" w:hAnsi="Times New Roman" w:cs="Times New Roman"/>
          <w:sz w:val="24"/>
          <w:szCs w:val="24"/>
        </w:rPr>
        <w:fldChar w:fldCharType="end"/>
      </w:r>
      <w:bookmarkEnd w:id="29"/>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Petitioner attempts to distinguish the administration of prescription drugs from the administration of CIC on the ground that Texas law expressly limits the liability of school personnel performing the former, see </w:t>
      </w:r>
      <w:proofErr w:type="spellStart"/>
      <w:r w:rsidRPr="007D6BAF">
        <w:rPr>
          <w:rFonts w:ascii="Times New Roman" w:eastAsia="Times New Roman" w:hAnsi="Times New Roman" w:cs="Times New Roman"/>
          <w:sz w:val="24"/>
          <w:szCs w:val="24"/>
        </w:rPr>
        <w:t>Tex.Educ.Code</w:t>
      </w:r>
      <w:proofErr w:type="spellEnd"/>
      <w:r w:rsidRPr="007D6BAF">
        <w:rPr>
          <w:rFonts w:ascii="Times New Roman" w:eastAsia="Times New Roman" w:hAnsi="Times New Roman" w:cs="Times New Roman"/>
          <w:sz w:val="24"/>
          <w:szCs w:val="24"/>
        </w:rPr>
        <w:t xml:space="preserve"> Ann. § 21.914(c) (Supp.1984), but not the latter. This distinction, however, bears no relation to whether CIC is a "related service." The introduction of handicapped children into a school creates numerous new possibilities for injury and liability. Many of these risks are more serious than that posed by CIC, which the courts below found is a safe procedure even when performed by a 9-year-old girl. Congress assumed that states receiving the generous grants under the Act were up to the job of managing these new risks. Whether petitioner decides to purchase more liability insurance or to persuade the State to extend the limitation on liability, the risks posed by CIC should not prove to be a large burden.</w:t>
      </w:r>
    </w:p>
    <w:bookmarkStart w:id="30" w:name="fn13"/>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"fn13_ref"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13</w:t>
      </w:r>
      <w:r w:rsidRPr="007D6BAF">
        <w:rPr>
          <w:rFonts w:ascii="Times New Roman" w:eastAsia="Times New Roman" w:hAnsi="Times New Roman" w:cs="Times New Roman"/>
          <w:sz w:val="24"/>
          <w:szCs w:val="24"/>
        </w:rPr>
        <w:fldChar w:fldCharType="end"/>
      </w:r>
      <w:bookmarkEnd w:id="30"/>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 xml:space="preserve">We need not address respondents' claim that CIC, in addition to being a "related service," is a "supplementary </w:t>
      </w:r>
      <w:proofErr w:type="spellStart"/>
      <w:r w:rsidRPr="007D6BAF">
        <w:rPr>
          <w:rFonts w:ascii="Times New Roman" w:eastAsia="Times New Roman" w:hAnsi="Times New Roman" w:cs="Times New Roman"/>
          <w:sz w:val="24"/>
          <w:szCs w:val="24"/>
        </w:rPr>
        <w:t>ai</w:t>
      </w:r>
      <w:proofErr w:type="spellEnd"/>
      <w:r w:rsidRPr="007D6BAF">
        <w:rPr>
          <w:rFonts w:ascii="Times New Roman" w:eastAsia="Times New Roman" w:hAnsi="Times New Roman" w:cs="Times New Roman"/>
          <w:sz w:val="24"/>
          <w:szCs w:val="24"/>
        </w:rPr>
        <w:t xml:space="preserve">[d] and </w:t>
      </w:r>
      <w:proofErr w:type="spellStart"/>
      <w:r w:rsidRPr="007D6BAF">
        <w:rPr>
          <w:rFonts w:ascii="Times New Roman" w:eastAsia="Times New Roman" w:hAnsi="Times New Roman" w:cs="Times New Roman"/>
          <w:sz w:val="24"/>
          <w:szCs w:val="24"/>
        </w:rPr>
        <w:t>servic</w:t>
      </w:r>
      <w:proofErr w:type="spellEnd"/>
      <w:r w:rsidRPr="007D6BAF">
        <w:rPr>
          <w:rFonts w:ascii="Times New Roman" w:eastAsia="Times New Roman" w:hAnsi="Times New Roman" w:cs="Times New Roman"/>
          <w:sz w:val="24"/>
          <w:szCs w:val="24"/>
        </w:rPr>
        <w:t xml:space="preserve">[e]" that petitioner must provide to enable Amber to attend classes with </w:t>
      </w:r>
      <w:proofErr w:type="spellStart"/>
      <w:r w:rsidRPr="007D6BAF">
        <w:rPr>
          <w:rFonts w:ascii="Times New Roman" w:eastAsia="Times New Roman" w:hAnsi="Times New Roman" w:cs="Times New Roman"/>
          <w:sz w:val="24"/>
          <w:szCs w:val="24"/>
        </w:rPr>
        <w:t>nonhandicapped</w:t>
      </w:r>
      <w:proofErr w:type="spellEnd"/>
      <w:r w:rsidRPr="007D6BAF">
        <w:rPr>
          <w:rFonts w:ascii="Times New Roman" w:eastAsia="Times New Roman" w:hAnsi="Times New Roman" w:cs="Times New Roman"/>
          <w:sz w:val="24"/>
          <w:szCs w:val="24"/>
        </w:rPr>
        <w:t xml:space="preserve"> students under the Act's "mainstreaming" directive. See </w:t>
      </w:r>
      <w:hyperlink r:id="rId34" w:anchor="5_B" w:tooltip="20 U.S.C. 1412(5)(B)" w:history="1">
        <w:r w:rsidRPr="007D6BAF">
          <w:rPr>
            <w:rFonts w:ascii="Times New Roman" w:eastAsia="Times New Roman" w:hAnsi="Times New Roman" w:cs="Times New Roman"/>
            <w:color w:val="0000FF"/>
            <w:sz w:val="24"/>
            <w:szCs w:val="24"/>
            <w:u w:val="single"/>
          </w:rPr>
          <w:t>20 U.S.C. 1412(5</w:t>
        </w:r>
        <w:proofErr w:type="gramStart"/>
        <w:r w:rsidRPr="007D6BAF">
          <w:rPr>
            <w:rFonts w:ascii="Times New Roman" w:eastAsia="Times New Roman" w:hAnsi="Times New Roman" w:cs="Times New Roman"/>
            <w:color w:val="0000FF"/>
            <w:sz w:val="24"/>
            <w:szCs w:val="24"/>
            <w:u w:val="single"/>
          </w:rPr>
          <w:t>)(</w:t>
        </w:r>
        <w:proofErr w:type="gramEnd"/>
        <w:r w:rsidRPr="007D6BAF">
          <w:rPr>
            <w:rFonts w:ascii="Times New Roman" w:eastAsia="Times New Roman" w:hAnsi="Times New Roman" w:cs="Times New Roman"/>
            <w:color w:val="0000FF"/>
            <w:sz w:val="24"/>
            <w:szCs w:val="24"/>
            <w:u w:val="single"/>
          </w:rPr>
          <w:t>B)</w:t>
        </w:r>
      </w:hyperlink>
      <w:r w:rsidRPr="007D6BAF">
        <w:rPr>
          <w:rFonts w:ascii="Times New Roman" w:eastAsia="Times New Roman" w:hAnsi="Times New Roman" w:cs="Times New Roman"/>
          <w:sz w:val="24"/>
          <w:szCs w:val="24"/>
        </w:rPr>
        <w:t xml:space="preserve">. Respondents have not sought an order prohibiting petitioner from educating Amber with handicapped children alone. Indeed, any request for such an order might not present a live controversy. Amber's present individualized education program provides for regular public school classes with </w:t>
      </w:r>
      <w:proofErr w:type="spellStart"/>
      <w:r w:rsidRPr="007D6BAF">
        <w:rPr>
          <w:rFonts w:ascii="Times New Roman" w:eastAsia="Times New Roman" w:hAnsi="Times New Roman" w:cs="Times New Roman"/>
          <w:sz w:val="24"/>
          <w:szCs w:val="24"/>
        </w:rPr>
        <w:t>nonhandicapped</w:t>
      </w:r>
      <w:proofErr w:type="spellEnd"/>
      <w:r w:rsidRPr="007D6BAF">
        <w:rPr>
          <w:rFonts w:ascii="Times New Roman" w:eastAsia="Times New Roman" w:hAnsi="Times New Roman" w:cs="Times New Roman"/>
          <w:sz w:val="24"/>
          <w:szCs w:val="24"/>
        </w:rPr>
        <w:t xml:space="preserve"> children. And petitioner has admitted that it would be far more costly to pay for Amber's instruction and CIC services at a private school, or to arrange for home tutoring, than to provide CIC at the regular public school placement provided in her current individualized education program. </w:t>
      </w:r>
      <w:proofErr w:type="gramStart"/>
      <w:r w:rsidRPr="007D6BAF">
        <w:rPr>
          <w:rFonts w:ascii="Times New Roman" w:eastAsia="Times New Roman" w:hAnsi="Times New Roman" w:cs="Times New Roman"/>
          <w:sz w:val="24"/>
          <w:szCs w:val="24"/>
        </w:rPr>
        <w:t>Tr. of Oral Arg. 12.</w:t>
      </w:r>
      <w:proofErr w:type="gramEnd"/>
    </w:p>
    <w:bookmarkStart w:id="31" w:name="fna1"/>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fldChar w:fldCharType="begin"/>
      </w:r>
      <w:r w:rsidRPr="007D6BAF">
        <w:rPr>
          <w:rFonts w:ascii="Times New Roman" w:eastAsia="Times New Roman" w:hAnsi="Times New Roman" w:cs="Times New Roman"/>
          <w:sz w:val="24"/>
          <w:szCs w:val="24"/>
        </w:rPr>
        <w:instrText xml:space="preserve"> HYPERLINK "http://www.law.cornell.edu/supremecourt/text/468/883" \l "fna1_ref" </w:instrText>
      </w:r>
      <w:r w:rsidRPr="007D6BAF">
        <w:rPr>
          <w:rFonts w:ascii="Times New Roman" w:eastAsia="Times New Roman" w:hAnsi="Times New Roman" w:cs="Times New Roman"/>
          <w:sz w:val="24"/>
          <w:szCs w:val="24"/>
        </w:rPr>
        <w:fldChar w:fldCharType="separate"/>
      </w:r>
      <w:r w:rsidRPr="007D6BAF">
        <w:rPr>
          <w:rFonts w:ascii="Times New Roman" w:eastAsia="Times New Roman" w:hAnsi="Times New Roman" w:cs="Times New Roman"/>
          <w:color w:val="0000FF"/>
          <w:sz w:val="24"/>
          <w:szCs w:val="24"/>
          <w:u w:val="single"/>
        </w:rPr>
        <w:t>a1</w:t>
      </w:r>
      <w:r w:rsidRPr="007D6BAF">
        <w:rPr>
          <w:rFonts w:ascii="Times New Roman" w:eastAsia="Times New Roman" w:hAnsi="Times New Roman" w:cs="Times New Roman"/>
          <w:sz w:val="24"/>
          <w:szCs w:val="24"/>
        </w:rPr>
        <w:fldChar w:fldCharType="end"/>
      </w:r>
      <w:bookmarkEnd w:id="31"/>
      <w:r w:rsidRPr="007D6BAF">
        <w:rPr>
          <w:rFonts w:ascii="Times New Roman" w:eastAsia="Times New Roman" w:hAnsi="Times New Roman" w:cs="Times New Roman"/>
          <w:sz w:val="24"/>
          <w:szCs w:val="24"/>
        </w:rPr>
        <w:t xml:space="preserve"> </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The "Statement of the Questions Presented" in the petition for certiorari reads as follows:</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lastRenderedPageBreak/>
        <w:t xml:space="preserve">"1. </w:t>
      </w:r>
      <w:proofErr w:type="gramStart"/>
      <w:r w:rsidRPr="007D6BAF">
        <w:rPr>
          <w:rFonts w:ascii="Times New Roman" w:eastAsia="Times New Roman" w:hAnsi="Times New Roman" w:cs="Times New Roman"/>
          <w:sz w:val="24"/>
          <w:szCs w:val="24"/>
        </w:rPr>
        <w:t>Whether</w:t>
      </w:r>
      <w:proofErr w:type="gramEnd"/>
      <w:r w:rsidRPr="007D6BAF">
        <w:rPr>
          <w:rFonts w:ascii="Times New Roman" w:eastAsia="Times New Roman" w:hAnsi="Times New Roman" w:cs="Times New Roman"/>
          <w:sz w:val="24"/>
          <w:szCs w:val="24"/>
        </w:rPr>
        <w:t xml:space="preserve"> 'medical treatment' such as clean intermittent </w:t>
      </w:r>
      <w:proofErr w:type="spellStart"/>
      <w:r w:rsidRPr="007D6BAF">
        <w:rPr>
          <w:rFonts w:ascii="Times New Roman" w:eastAsia="Times New Roman" w:hAnsi="Times New Roman" w:cs="Times New Roman"/>
          <w:sz w:val="24"/>
          <w:szCs w:val="24"/>
        </w:rPr>
        <w:t>catherization</w:t>
      </w:r>
      <w:proofErr w:type="spellEnd"/>
      <w:r w:rsidRPr="007D6BAF">
        <w:rPr>
          <w:rFonts w:ascii="Times New Roman" w:eastAsia="Times New Roman" w:hAnsi="Times New Roman" w:cs="Times New Roman"/>
          <w:sz w:val="24"/>
          <w:szCs w:val="24"/>
        </w:rPr>
        <w:t xml:space="preserve"> is a 'related service' required under the Education for All Handicapped Children Act and, therefore, required to be provided to the minor Respondent.</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"2. Is a public school required to provide and perform the medical treatment prescribed by the physician of a handicapped child by the Education of All Handicapped Children Act or the Rehabilitation Act of 1973?</w:t>
      </w:r>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proofErr w:type="gramStart"/>
      <w:r w:rsidRPr="007D6BAF">
        <w:rPr>
          <w:rFonts w:ascii="Times New Roman" w:eastAsia="Times New Roman" w:hAnsi="Times New Roman" w:cs="Times New Roman"/>
          <w:sz w:val="24"/>
          <w:szCs w:val="24"/>
        </w:rPr>
        <w:t xml:space="preserve">"3. Whether the Fifth Circuit Court of Appeals misconstrued the opinions of this Court in Southeastern Community College v. Davis, </w:t>
      </w:r>
      <w:proofErr w:type="spellStart"/>
      <w:r w:rsidRPr="007D6BAF">
        <w:rPr>
          <w:rFonts w:ascii="Times New Roman" w:eastAsia="Times New Roman" w:hAnsi="Times New Roman" w:cs="Times New Roman"/>
          <w:sz w:val="24"/>
          <w:szCs w:val="24"/>
        </w:rPr>
        <w:t>Pennhurst</w:t>
      </w:r>
      <w:proofErr w:type="spellEnd"/>
      <w:r w:rsidRPr="007D6BAF">
        <w:rPr>
          <w:rFonts w:ascii="Times New Roman" w:eastAsia="Times New Roman" w:hAnsi="Times New Roman" w:cs="Times New Roman"/>
          <w:sz w:val="24"/>
          <w:szCs w:val="24"/>
        </w:rPr>
        <w:t xml:space="preserve"> State School &amp; Hospital v. </w:t>
      </w:r>
      <w:proofErr w:type="spellStart"/>
      <w:r w:rsidRPr="007D6BAF">
        <w:rPr>
          <w:rFonts w:ascii="Times New Roman" w:eastAsia="Times New Roman" w:hAnsi="Times New Roman" w:cs="Times New Roman"/>
          <w:sz w:val="24"/>
          <w:szCs w:val="24"/>
        </w:rPr>
        <w:t>Halderman</w:t>
      </w:r>
      <w:proofErr w:type="spellEnd"/>
      <w:r w:rsidRPr="007D6BAF">
        <w:rPr>
          <w:rFonts w:ascii="Times New Roman" w:eastAsia="Times New Roman" w:hAnsi="Times New Roman" w:cs="Times New Roman"/>
          <w:sz w:val="24"/>
          <w:szCs w:val="24"/>
        </w:rPr>
        <w:t>, and State Board of Education v. Rowley."</w:t>
      </w:r>
      <w:proofErr w:type="gramEnd"/>
      <w:r w:rsidRPr="007D6BAF">
        <w:rPr>
          <w:rFonts w:ascii="Times New Roman" w:eastAsia="Times New Roman" w:hAnsi="Times New Roman" w:cs="Times New Roman"/>
          <w:sz w:val="24"/>
          <w:szCs w:val="24"/>
        </w:rPr>
        <w:t xml:space="preserve"> </w:t>
      </w:r>
      <w:proofErr w:type="gramStart"/>
      <w:r w:rsidRPr="007D6BAF">
        <w:rPr>
          <w:rFonts w:ascii="Times New Roman" w:eastAsia="Times New Roman" w:hAnsi="Times New Roman" w:cs="Times New Roman"/>
          <w:sz w:val="24"/>
          <w:szCs w:val="24"/>
        </w:rPr>
        <w:t xml:space="preserve">Pet. for Cert. </w:t>
      </w:r>
      <w:proofErr w:type="spellStart"/>
      <w:r w:rsidRPr="007D6BAF">
        <w:rPr>
          <w:rFonts w:ascii="Times New Roman" w:eastAsia="Times New Roman" w:hAnsi="Times New Roman" w:cs="Times New Roman"/>
          <w:sz w:val="24"/>
          <w:szCs w:val="24"/>
        </w:rPr>
        <w:t>i</w:t>
      </w:r>
      <w:proofErr w:type="spellEnd"/>
      <w:r w:rsidRPr="007D6BAF">
        <w:rPr>
          <w:rFonts w:ascii="Times New Roman" w:eastAsia="Times New Roman" w:hAnsi="Times New Roman" w:cs="Times New Roman"/>
          <w:sz w:val="24"/>
          <w:szCs w:val="24"/>
        </w:rPr>
        <w:t>.</w:t>
      </w:r>
      <w:proofErr w:type="gramEnd"/>
    </w:p>
    <w:p w:rsidR="007D6BAF" w:rsidRPr="007D6BAF" w:rsidRDefault="007D6BAF" w:rsidP="007D6BAF">
      <w:pPr>
        <w:spacing w:before="100" w:beforeAutospacing="1" w:after="100" w:afterAutospacing="1" w:line="240" w:lineRule="auto"/>
        <w:rPr>
          <w:rFonts w:ascii="Times New Roman" w:eastAsia="Times New Roman" w:hAnsi="Times New Roman" w:cs="Times New Roman"/>
          <w:sz w:val="24"/>
          <w:szCs w:val="24"/>
        </w:rPr>
      </w:pPr>
      <w:r w:rsidRPr="007D6BAF">
        <w:rPr>
          <w:rFonts w:ascii="Times New Roman" w:eastAsia="Times New Roman" w:hAnsi="Times New Roman" w:cs="Times New Roman"/>
          <w:sz w:val="24"/>
          <w:szCs w:val="24"/>
        </w:rPr>
        <w:t>Because the Court does not hold that the Court of Appeals answered any of these questions incorrectly, it is not justified in reversing in part the judgment of that court.</w:t>
      </w:r>
    </w:p>
    <w:sectPr w:rsidR="007D6BAF" w:rsidRPr="007D6BAF" w:rsidSect="00D02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10"/>
    <w:multiLevelType w:val="multilevel"/>
    <w:tmpl w:val="37A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11319"/>
    <w:multiLevelType w:val="multilevel"/>
    <w:tmpl w:val="A2F2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02F2B"/>
    <w:multiLevelType w:val="multilevel"/>
    <w:tmpl w:val="7006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6BAF"/>
    <w:rsid w:val="007D6BAF"/>
    <w:rsid w:val="00D02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1F"/>
  </w:style>
  <w:style w:type="paragraph" w:styleId="Heading1">
    <w:name w:val="heading 1"/>
    <w:basedOn w:val="Normal"/>
    <w:link w:val="Heading1Char"/>
    <w:uiPriority w:val="9"/>
    <w:qFormat/>
    <w:rsid w:val="007D6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BAF"/>
    <w:rPr>
      <w:rFonts w:ascii="Times New Roman" w:eastAsia="Times New Roman" w:hAnsi="Times New Roman" w:cs="Times New Roman"/>
      <w:b/>
      <w:bCs/>
      <w:sz w:val="36"/>
      <w:szCs w:val="36"/>
    </w:rPr>
  </w:style>
  <w:style w:type="paragraph" w:customStyle="1" w:styleId="selfcites">
    <w:name w:val="selfcites"/>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ynames">
    <w:name w:val="partynames"/>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no">
    <w:name w:val="docketno"/>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itnav">
    <w:name w:val="writnav"/>
    <w:basedOn w:val="DefaultParagraphFont"/>
    <w:rsid w:val="007D6BAF"/>
  </w:style>
  <w:style w:type="character" w:styleId="Hyperlink">
    <w:name w:val="Hyperlink"/>
    <w:basedOn w:val="DefaultParagraphFont"/>
    <w:uiPriority w:val="99"/>
    <w:semiHidden/>
    <w:unhideWhenUsed/>
    <w:rsid w:val="007D6BAF"/>
    <w:rPr>
      <w:color w:val="0000FF"/>
      <w:u w:val="single"/>
    </w:rPr>
  </w:style>
  <w:style w:type="paragraph" w:customStyle="1" w:styleId="pro-para">
    <w:name w:val="pro-para"/>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indent">
    <w:name w:val="pro-indent"/>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ingbreak">
    <w:name w:val="writingbreak"/>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7D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BAF"/>
    <w:rPr>
      <w:b/>
      <w:bCs/>
    </w:rPr>
  </w:style>
  <w:style w:type="paragraph" w:styleId="BalloonText">
    <w:name w:val="Balloon Text"/>
    <w:basedOn w:val="Normal"/>
    <w:link w:val="BalloonTextChar"/>
    <w:uiPriority w:val="99"/>
    <w:semiHidden/>
    <w:unhideWhenUsed/>
    <w:rsid w:val="007D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140818">
      <w:bodyDiv w:val="1"/>
      <w:marLeft w:val="0"/>
      <w:marRight w:val="0"/>
      <w:marTop w:val="0"/>
      <w:marBottom w:val="0"/>
      <w:divBdr>
        <w:top w:val="none" w:sz="0" w:space="0" w:color="auto"/>
        <w:left w:val="none" w:sz="0" w:space="0" w:color="auto"/>
        <w:bottom w:val="none" w:sz="0" w:space="0" w:color="auto"/>
        <w:right w:val="none" w:sz="0" w:space="0" w:color="auto"/>
      </w:divBdr>
      <w:divsChild>
        <w:div w:id="364452210">
          <w:marLeft w:val="0"/>
          <w:marRight w:val="0"/>
          <w:marTop w:val="0"/>
          <w:marBottom w:val="0"/>
          <w:divBdr>
            <w:top w:val="none" w:sz="0" w:space="0" w:color="auto"/>
            <w:left w:val="none" w:sz="0" w:space="0" w:color="auto"/>
            <w:bottom w:val="none" w:sz="0" w:space="0" w:color="auto"/>
            <w:right w:val="none" w:sz="0" w:space="0" w:color="auto"/>
          </w:divBdr>
          <w:divsChild>
            <w:div w:id="1636565565">
              <w:marLeft w:val="0"/>
              <w:marRight w:val="0"/>
              <w:marTop w:val="0"/>
              <w:marBottom w:val="0"/>
              <w:divBdr>
                <w:top w:val="none" w:sz="0" w:space="0" w:color="auto"/>
                <w:left w:val="none" w:sz="0" w:space="0" w:color="auto"/>
                <w:bottom w:val="none" w:sz="0" w:space="0" w:color="auto"/>
                <w:right w:val="none" w:sz="0" w:space="0" w:color="auto"/>
              </w:divBdr>
              <w:divsChild>
                <w:div w:id="367216641">
                  <w:marLeft w:val="0"/>
                  <w:marRight w:val="0"/>
                  <w:marTop w:val="0"/>
                  <w:marBottom w:val="0"/>
                  <w:divBdr>
                    <w:top w:val="none" w:sz="0" w:space="0" w:color="auto"/>
                    <w:left w:val="none" w:sz="0" w:space="0" w:color="auto"/>
                    <w:bottom w:val="none" w:sz="0" w:space="0" w:color="auto"/>
                    <w:right w:val="none" w:sz="0" w:space="0" w:color="auto"/>
                  </w:divBdr>
                </w:div>
              </w:divsChild>
            </w:div>
            <w:div w:id="1950040945">
              <w:marLeft w:val="0"/>
              <w:marRight w:val="0"/>
              <w:marTop w:val="0"/>
              <w:marBottom w:val="0"/>
              <w:divBdr>
                <w:top w:val="none" w:sz="0" w:space="0" w:color="auto"/>
                <w:left w:val="none" w:sz="0" w:space="0" w:color="auto"/>
                <w:bottom w:val="none" w:sz="0" w:space="0" w:color="auto"/>
                <w:right w:val="none" w:sz="0" w:space="0" w:color="auto"/>
              </w:divBdr>
              <w:divsChild>
                <w:div w:id="1559321906">
                  <w:marLeft w:val="0"/>
                  <w:marRight w:val="0"/>
                  <w:marTop w:val="0"/>
                  <w:marBottom w:val="0"/>
                  <w:divBdr>
                    <w:top w:val="none" w:sz="0" w:space="0" w:color="auto"/>
                    <w:left w:val="none" w:sz="0" w:space="0" w:color="auto"/>
                    <w:bottom w:val="none" w:sz="0" w:space="0" w:color="auto"/>
                    <w:right w:val="none" w:sz="0" w:space="0" w:color="auto"/>
                  </w:divBdr>
                </w:div>
              </w:divsChild>
            </w:div>
            <w:div w:id="338124389">
              <w:marLeft w:val="0"/>
              <w:marRight w:val="0"/>
              <w:marTop w:val="0"/>
              <w:marBottom w:val="0"/>
              <w:divBdr>
                <w:top w:val="none" w:sz="0" w:space="0" w:color="auto"/>
                <w:left w:val="none" w:sz="0" w:space="0" w:color="auto"/>
                <w:bottom w:val="none" w:sz="0" w:space="0" w:color="auto"/>
                <w:right w:val="none" w:sz="0" w:space="0" w:color="auto"/>
              </w:divBdr>
              <w:divsChild>
                <w:div w:id="1661080915">
                  <w:marLeft w:val="0"/>
                  <w:marRight w:val="0"/>
                  <w:marTop w:val="0"/>
                  <w:marBottom w:val="0"/>
                  <w:divBdr>
                    <w:top w:val="none" w:sz="0" w:space="0" w:color="auto"/>
                    <w:left w:val="none" w:sz="0" w:space="0" w:color="auto"/>
                    <w:bottom w:val="none" w:sz="0" w:space="0" w:color="auto"/>
                    <w:right w:val="none" w:sz="0" w:space="0" w:color="auto"/>
                  </w:divBdr>
                </w:div>
              </w:divsChild>
            </w:div>
            <w:div w:id="1531336602">
              <w:marLeft w:val="0"/>
              <w:marRight w:val="0"/>
              <w:marTop w:val="0"/>
              <w:marBottom w:val="0"/>
              <w:divBdr>
                <w:top w:val="none" w:sz="0" w:space="0" w:color="auto"/>
                <w:left w:val="none" w:sz="0" w:space="0" w:color="auto"/>
                <w:bottom w:val="none" w:sz="0" w:space="0" w:color="auto"/>
                <w:right w:val="none" w:sz="0" w:space="0" w:color="auto"/>
              </w:divBdr>
              <w:divsChild>
                <w:div w:id="1788352563">
                  <w:marLeft w:val="0"/>
                  <w:marRight w:val="0"/>
                  <w:marTop w:val="0"/>
                  <w:marBottom w:val="0"/>
                  <w:divBdr>
                    <w:top w:val="none" w:sz="0" w:space="0" w:color="auto"/>
                    <w:left w:val="none" w:sz="0" w:space="0" w:color="auto"/>
                    <w:bottom w:val="none" w:sz="0" w:space="0" w:color="auto"/>
                    <w:right w:val="none" w:sz="0" w:space="0" w:color="auto"/>
                  </w:divBdr>
                  <w:divsChild>
                    <w:div w:id="583955180">
                      <w:marLeft w:val="0"/>
                      <w:marRight w:val="0"/>
                      <w:marTop w:val="0"/>
                      <w:marBottom w:val="0"/>
                      <w:divBdr>
                        <w:top w:val="none" w:sz="0" w:space="0" w:color="auto"/>
                        <w:left w:val="none" w:sz="0" w:space="0" w:color="auto"/>
                        <w:bottom w:val="none" w:sz="0" w:space="0" w:color="auto"/>
                        <w:right w:val="none" w:sz="0" w:space="0" w:color="auto"/>
                      </w:divBdr>
                      <w:divsChild>
                        <w:div w:id="1767070747">
                          <w:marLeft w:val="0"/>
                          <w:marRight w:val="0"/>
                          <w:marTop w:val="0"/>
                          <w:marBottom w:val="0"/>
                          <w:divBdr>
                            <w:top w:val="none" w:sz="0" w:space="0" w:color="auto"/>
                            <w:left w:val="none" w:sz="0" w:space="0" w:color="auto"/>
                            <w:bottom w:val="none" w:sz="0" w:space="0" w:color="auto"/>
                            <w:right w:val="none" w:sz="0" w:space="0" w:color="auto"/>
                          </w:divBdr>
                          <w:divsChild>
                            <w:div w:id="1707755188">
                              <w:marLeft w:val="0"/>
                              <w:marRight w:val="0"/>
                              <w:marTop w:val="0"/>
                              <w:marBottom w:val="0"/>
                              <w:divBdr>
                                <w:top w:val="none" w:sz="0" w:space="0" w:color="auto"/>
                                <w:left w:val="none" w:sz="0" w:space="0" w:color="auto"/>
                                <w:bottom w:val="none" w:sz="0" w:space="0" w:color="auto"/>
                                <w:right w:val="none" w:sz="0" w:space="0" w:color="auto"/>
                              </w:divBdr>
                            </w:div>
                            <w:div w:id="442656084">
                              <w:marLeft w:val="0"/>
                              <w:marRight w:val="0"/>
                              <w:marTop w:val="0"/>
                              <w:marBottom w:val="0"/>
                              <w:divBdr>
                                <w:top w:val="none" w:sz="0" w:space="0" w:color="auto"/>
                                <w:left w:val="none" w:sz="0" w:space="0" w:color="auto"/>
                                <w:bottom w:val="none" w:sz="0" w:space="0" w:color="auto"/>
                                <w:right w:val="none" w:sz="0" w:space="0" w:color="auto"/>
                              </w:divBdr>
                              <w:divsChild>
                                <w:div w:id="2060008886">
                                  <w:marLeft w:val="0"/>
                                  <w:marRight w:val="0"/>
                                  <w:marTop w:val="0"/>
                                  <w:marBottom w:val="0"/>
                                  <w:divBdr>
                                    <w:top w:val="none" w:sz="0" w:space="0" w:color="auto"/>
                                    <w:left w:val="none" w:sz="0" w:space="0" w:color="auto"/>
                                    <w:bottom w:val="none" w:sz="0" w:space="0" w:color="auto"/>
                                    <w:right w:val="none" w:sz="0" w:space="0" w:color="auto"/>
                                  </w:divBdr>
                                  <w:divsChild>
                                    <w:div w:id="19821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0222">
              <w:marLeft w:val="0"/>
              <w:marRight w:val="0"/>
              <w:marTop w:val="0"/>
              <w:marBottom w:val="0"/>
              <w:divBdr>
                <w:top w:val="none" w:sz="0" w:space="0" w:color="auto"/>
                <w:left w:val="none" w:sz="0" w:space="0" w:color="auto"/>
                <w:bottom w:val="none" w:sz="0" w:space="0" w:color="auto"/>
                <w:right w:val="none" w:sz="0" w:space="0" w:color="auto"/>
              </w:divBdr>
              <w:divsChild>
                <w:div w:id="177476675">
                  <w:marLeft w:val="0"/>
                  <w:marRight w:val="0"/>
                  <w:marTop w:val="0"/>
                  <w:marBottom w:val="0"/>
                  <w:divBdr>
                    <w:top w:val="none" w:sz="0" w:space="0" w:color="auto"/>
                    <w:left w:val="none" w:sz="0" w:space="0" w:color="auto"/>
                    <w:bottom w:val="none" w:sz="0" w:space="0" w:color="auto"/>
                    <w:right w:val="none" w:sz="0" w:space="0" w:color="auto"/>
                  </w:divBdr>
                  <w:divsChild>
                    <w:div w:id="1489127559">
                      <w:marLeft w:val="0"/>
                      <w:marRight w:val="0"/>
                      <w:marTop w:val="0"/>
                      <w:marBottom w:val="0"/>
                      <w:divBdr>
                        <w:top w:val="none" w:sz="0" w:space="0" w:color="auto"/>
                        <w:left w:val="none" w:sz="0" w:space="0" w:color="auto"/>
                        <w:bottom w:val="none" w:sz="0" w:space="0" w:color="auto"/>
                        <w:right w:val="none" w:sz="0" w:space="0" w:color="auto"/>
                      </w:divBdr>
                    </w:div>
                    <w:div w:id="1528323941">
                      <w:marLeft w:val="0"/>
                      <w:marRight w:val="0"/>
                      <w:marTop w:val="0"/>
                      <w:marBottom w:val="0"/>
                      <w:divBdr>
                        <w:top w:val="none" w:sz="0" w:space="0" w:color="auto"/>
                        <w:left w:val="none" w:sz="0" w:space="0" w:color="auto"/>
                        <w:bottom w:val="none" w:sz="0" w:space="0" w:color="auto"/>
                        <w:right w:val="none" w:sz="0" w:space="0" w:color="auto"/>
                      </w:divBdr>
                      <w:divsChild>
                        <w:div w:id="1875344714">
                          <w:marLeft w:val="0"/>
                          <w:marRight w:val="0"/>
                          <w:marTop w:val="0"/>
                          <w:marBottom w:val="0"/>
                          <w:divBdr>
                            <w:top w:val="none" w:sz="0" w:space="0" w:color="auto"/>
                            <w:left w:val="none" w:sz="0" w:space="0" w:color="auto"/>
                            <w:bottom w:val="none" w:sz="0" w:space="0" w:color="auto"/>
                            <w:right w:val="none" w:sz="0" w:space="0" w:color="auto"/>
                          </w:divBdr>
                        </w:div>
                        <w:div w:id="785658475">
                          <w:marLeft w:val="0"/>
                          <w:marRight w:val="0"/>
                          <w:marTop w:val="0"/>
                          <w:marBottom w:val="0"/>
                          <w:divBdr>
                            <w:top w:val="none" w:sz="0" w:space="0" w:color="auto"/>
                            <w:left w:val="none" w:sz="0" w:space="0" w:color="auto"/>
                            <w:bottom w:val="none" w:sz="0" w:space="0" w:color="auto"/>
                            <w:right w:val="none" w:sz="0" w:space="0" w:color="auto"/>
                          </w:divBdr>
                        </w:div>
                      </w:divsChild>
                    </w:div>
                    <w:div w:id="506794147">
                      <w:marLeft w:val="0"/>
                      <w:marRight w:val="0"/>
                      <w:marTop w:val="0"/>
                      <w:marBottom w:val="0"/>
                      <w:divBdr>
                        <w:top w:val="none" w:sz="0" w:space="0" w:color="auto"/>
                        <w:left w:val="none" w:sz="0" w:space="0" w:color="auto"/>
                        <w:bottom w:val="none" w:sz="0" w:space="0" w:color="auto"/>
                        <w:right w:val="none" w:sz="0" w:space="0" w:color="auto"/>
                      </w:divBdr>
                      <w:divsChild>
                        <w:div w:id="1017780360">
                          <w:marLeft w:val="0"/>
                          <w:marRight w:val="0"/>
                          <w:marTop w:val="0"/>
                          <w:marBottom w:val="0"/>
                          <w:divBdr>
                            <w:top w:val="none" w:sz="0" w:space="0" w:color="auto"/>
                            <w:left w:val="none" w:sz="0" w:space="0" w:color="auto"/>
                            <w:bottom w:val="none" w:sz="0" w:space="0" w:color="auto"/>
                            <w:right w:val="none" w:sz="0" w:space="0" w:color="auto"/>
                          </w:divBdr>
                        </w:div>
                      </w:divsChild>
                    </w:div>
                    <w:div w:id="1855996634">
                      <w:marLeft w:val="0"/>
                      <w:marRight w:val="0"/>
                      <w:marTop w:val="0"/>
                      <w:marBottom w:val="0"/>
                      <w:divBdr>
                        <w:top w:val="none" w:sz="0" w:space="0" w:color="auto"/>
                        <w:left w:val="none" w:sz="0" w:space="0" w:color="auto"/>
                        <w:bottom w:val="none" w:sz="0" w:space="0" w:color="auto"/>
                        <w:right w:val="none" w:sz="0" w:space="0" w:color="auto"/>
                      </w:divBdr>
                      <w:divsChild>
                        <w:div w:id="1250773369">
                          <w:marLeft w:val="0"/>
                          <w:marRight w:val="0"/>
                          <w:marTop w:val="0"/>
                          <w:marBottom w:val="0"/>
                          <w:divBdr>
                            <w:top w:val="none" w:sz="0" w:space="0" w:color="auto"/>
                            <w:left w:val="none" w:sz="0" w:space="0" w:color="auto"/>
                            <w:bottom w:val="none" w:sz="0" w:space="0" w:color="auto"/>
                            <w:right w:val="none" w:sz="0" w:space="0" w:color="auto"/>
                          </w:divBdr>
                        </w:div>
                        <w:div w:id="1438059710">
                          <w:marLeft w:val="0"/>
                          <w:marRight w:val="0"/>
                          <w:marTop w:val="0"/>
                          <w:marBottom w:val="0"/>
                          <w:divBdr>
                            <w:top w:val="none" w:sz="0" w:space="0" w:color="auto"/>
                            <w:left w:val="none" w:sz="0" w:space="0" w:color="auto"/>
                            <w:bottom w:val="none" w:sz="0" w:space="0" w:color="auto"/>
                            <w:right w:val="none" w:sz="0" w:space="0" w:color="auto"/>
                          </w:divBdr>
                        </w:div>
                      </w:divsChild>
                    </w:div>
                    <w:div w:id="262038992">
                      <w:marLeft w:val="0"/>
                      <w:marRight w:val="0"/>
                      <w:marTop w:val="0"/>
                      <w:marBottom w:val="0"/>
                      <w:divBdr>
                        <w:top w:val="none" w:sz="0" w:space="0" w:color="auto"/>
                        <w:left w:val="none" w:sz="0" w:space="0" w:color="auto"/>
                        <w:bottom w:val="none" w:sz="0" w:space="0" w:color="auto"/>
                        <w:right w:val="none" w:sz="0" w:space="0" w:color="auto"/>
                      </w:divBdr>
                      <w:divsChild>
                        <w:div w:id="966663205">
                          <w:marLeft w:val="0"/>
                          <w:marRight w:val="0"/>
                          <w:marTop w:val="0"/>
                          <w:marBottom w:val="0"/>
                          <w:divBdr>
                            <w:top w:val="none" w:sz="0" w:space="0" w:color="auto"/>
                            <w:left w:val="none" w:sz="0" w:space="0" w:color="auto"/>
                            <w:bottom w:val="none" w:sz="0" w:space="0" w:color="auto"/>
                            <w:right w:val="none" w:sz="0" w:space="0" w:color="auto"/>
                          </w:divBdr>
                        </w:div>
                        <w:div w:id="898707546">
                          <w:marLeft w:val="0"/>
                          <w:marRight w:val="0"/>
                          <w:marTop w:val="0"/>
                          <w:marBottom w:val="0"/>
                          <w:divBdr>
                            <w:top w:val="none" w:sz="0" w:space="0" w:color="auto"/>
                            <w:left w:val="none" w:sz="0" w:space="0" w:color="auto"/>
                            <w:bottom w:val="none" w:sz="0" w:space="0" w:color="auto"/>
                            <w:right w:val="none" w:sz="0" w:space="0" w:color="auto"/>
                          </w:divBdr>
                        </w:div>
                      </w:divsChild>
                    </w:div>
                    <w:div w:id="526984588">
                      <w:marLeft w:val="0"/>
                      <w:marRight w:val="0"/>
                      <w:marTop w:val="0"/>
                      <w:marBottom w:val="0"/>
                      <w:divBdr>
                        <w:top w:val="none" w:sz="0" w:space="0" w:color="auto"/>
                        <w:left w:val="none" w:sz="0" w:space="0" w:color="auto"/>
                        <w:bottom w:val="none" w:sz="0" w:space="0" w:color="auto"/>
                        <w:right w:val="none" w:sz="0" w:space="0" w:color="auto"/>
                      </w:divBdr>
                      <w:divsChild>
                        <w:div w:id="69279238">
                          <w:marLeft w:val="0"/>
                          <w:marRight w:val="0"/>
                          <w:marTop w:val="0"/>
                          <w:marBottom w:val="0"/>
                          <w:divBdr>
                            <w:top w:val="none" w:sz="0" w:space="0" w:color="auto"/>
                            <w:left w:val="none" w:sz="0" w:space="0" w:color="auto"/>
                            <w:bottom w:val="none" w:sz="0" w:space="0" w:color="auto"/>
                            <w:right w:val="none" w:sz="0" w:space="0" w:color="auto"/>
                          </w:divBdr>
                        </w:div>
                        <w:div w:id="13906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remecourt/text/468/992" TargetMode="External"/><Relationship Id="rId13" Type="http://schemas.openxmlformats.org/officeDocument/2006/relationships/hyperlink" Target="http://www.law.cornell.edu/uscode/text/29/794a" TargetMode="External"/><Relationship Id="rId18" Type="http://schemas.openxmlformats.org/officeDocument/2006/relationships/hyperlink" Target="http://www.law.cornell.edu/uscode/text/20/1401" TargetMode="External"/><Relationship Id="rId26" Type="http://schemas.openxmlformats.org/officeDocument/2006/relationships/hyperlink" Target="http://www.law.cornell.edu/uscode/text/29/794a" TargetMode="External"/><Relationship Id="rId3" Type="http://schemas.openxmlformats.org/officeDocument/2006/relationships/settings" Target="settings.xml"/><Relationship Id="rId21" Type="http://schemas.openxmlformats.org/officeDocument/2006/relationships/hyperlink" Target="http://www.law.cornell.edu/uscode/text/29/794a" TargetMode="External"/><Relationship Id="rId34" Type="http://schemas.openxmlformats.org/officeDocument/2006/relationships/hyperlink" Target="http://www.law.cornell.edu/uscode/text/20/1412" TargetMode="External"/><Relationship Id="rId7" Type="http://schemas.openxmlformats.org/officeDocument/2006/relationships/hyperlink" Target="http://www.law.cornell.edu/supremecourt/text/468/883" TargetMode="External"/><Relationship Id="rId12" Type="http://schemas.openxmlformats.org/officeDocument/2006/relationships/hyperlink" Target="http://www.law.cornell.edu/uscode/text/20/1401" TargetMode="External"/><Relationship Id="rId17" Type="http://schemas.openxmlformats.org/officeDocument/2006/relationships/hyperlink" Target="http://www.law.cornell.edu/uscode/text/20/1401" TargetMode="External"/><Relationship Id="rId25" Type="http://schemas.openxmlformats.org/officeDocument/2006/relationships/hyperlink" Target="http://www.law.cornell.edu/uscode/text/20/1401" TargetMode="External"/><Relationship Id="rId33" Type="http://schemas.openxmlformats.org/officeDocument/2006/relationships/hyperlink" Target="http://www.law.cornell.edu/uscode/text/20/1401" TargetMode="External"/><Relationship Id="rId2" Type="http://schemas.openxmlformats.org/officeDocument/2006/relationships/styles" Target="styles.xml"/><Relationship Id="rId16" Type="http://schemas.openxmlformats.org/officeDocument/2006/relationships/hyperlink" Target="http://www.law.cornell.edu/supremecourt/text/458/176" TargetMode="External"/><Relationship Id="rId20" Type="http://schemas.openxmlformats.org/officeDocument/2006/relationships/hyperlink" Target="http://www.law.cornell.edu/uscode/text/20/1401" TargetMode="External"/><Relationship Id="rId29" Type="http://schemas.openxmlformats.org/officeDocument/2006/relationships/hyperlink" Target="http://www.law.cornell.edu/uscode/text/20/1412" TargetMode="External"/><Relationship Id="rId1" Type="http://schemas.openxmlformats.org/officeDocument/2006/relationships/numbering" Target="numbering.xml"/><Relationship Id="rId6" Type="http://schemas.openxmlformats.org/officeDocument/2006/relationships/hyperlink" Target="http://www.law.cornell.edu/supremecourt/text/468/883" TargetMode="External"/><Relationship Id="rId11" Type="http://schemas.openxmlformats.org/officeDocument/2006/relationships/hyperlink" Target="http://www.law.cornell.edu/uscode/text/29/794" TargetMode="External"/><Relationship Id="rId24" Type="http://schemas.openxmlformats.org/officeDocument/2006/relationships/hyperlink" Target="http://www.law.cornell.edu/uscode/text/20/1415" TargetMode="External"/><Relationship Id="rId32" Type="http://schemas.openxmlformats.org/officeDocument/2006/relationships/hyperlink" Target="http://www.law.cornell.edu/uscode/text/20/3441" TargetMode="External"/><Relationship Id="rId5" Type="http://schemas.openxmlformats.org/officeDocument/2006/relationships/hyperlink" Target="http://www.law.cornell.edu/supremecourt/text/468/883" TargetMode="External"/><Relationship Id="rId15" Type="http://schemas.openxmlformats.org/officeDocument/2006/relationships/hyperlink" Target="http://www.law.cornell.edu/uscode/text/20/1412" TargetMode="External"/><Relationship Id="rId23" Type="http://schemas.openxmlformats.org/officeDocument/2006/relationships/hyperlink" Target="http://www.law.cornell.edu/supremecourt/text/468/992" TargetMode="External"/><Relationship Id="rId28" Type="http://schemas.openxmlformats.org/officeDocument/2006/relationships/hyperlink" Target="http://www.law.cornell.edu/supremecourt/text/458/1121" TargetMode="External"/><Relationship Id="rId36" Type="http://schemas.openxmlformats.org/officeDocument/2006/relationships/theme" Target="theme/theme1.xml"/><Relationship Id="rId10" Type="http://schemas.openxmlformats.org/officeDocument/2006/relationships/hyperlink" Target="http://www.law.cornell.edu/uscode/text/20/1414" TargetMode="External"/><Relationship Id="rId19" Type="http://schemas.openxmlformats.org/officeDocument/2006/relationships/hyperlink" Target="http://www.law.cornell.edu/supremecourt/text/457/132" TargetMode="External"/><Relationship Id="rId31" Type="http://schemas.openxmlformats.org/officeDocument/2006/relationships/hyperlink" Target="http://www.law.cornell.edu/uscode/text/20/1417" TargetMode="External"/><Relationship Id="rId4" Type="http://schemas.openxmlformats.org/officeDocument/2006/relationships/webSettings" Target="webSettings.xml"/><Relationship Id="rId9" Type="http://schemas.openxmlformats.org/officeDocument/2006/relationships/hyperlink" Target="http://www.law.cornell.edu/uscode/text/20/1401" TargetMode="External"/><Relationship Id="rId14" Type="http://schemas.openxmlformats.org/officeDocument/2006/relationships/hyperlink" Target="http://www.law.cornell.edu/supremecourt/text/464/1007" TargetMode="External"/><Relationship Id="rId22" Type="http://schemas.openxmlformats.org/officeDocument/2006/relationships/hyperlink" Target="http://www.law.cornell.edu/supremecourt/text/468/992" TargetMode="External"/><Relationship Id="rId27" Type="http://schemas.openxmlformats.org/officeDocument/2006/relationships/hyperlink" Target="http://www.law.cornell.edu/supremecourt/text/458/176" TargetMode="External"/><Relationship Id="rId30" Type="http://schemas.openxmlformats.org/officeDocument/2006/relationships/hyperlink" Target="http://www.law.cornell.edu/supremecourt/text/451/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5217</Words>
  <Characters>29742</Characters>
  <Application>Microsoft Office Word</Application>
  <DocSecurity>0</DocSecurity>
  <Lines>247</Lines>
  <Paragraphs>69</Paragraphs>
  <ScaleCrop>false</ScaleCrop>
  <Company>Toshiba</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2014-04-18T17:53:00Z</dcterms:created>
  <dcterms:modified xsi:type="dcterms:W3CDTF">2014-04-18T17:56:00Z</dcterms:modified>
</cp:coreProperties>
</file>