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63" w:rsidRDefault="003A4C63" w:rsidP="003A4C63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250B6D">
        <w:rPr>
          <w:rFonts w:ascii="Times New Roman" w:hAnsi="Times New Roman" w:cs="Times New Roman"/>
          <w:b/>
          <w:sz w:val="24"/>
          <w:szCs w:val="24"/>
        </w:rPr>
        <w:t>WISC-V comparisons with WISC-IV scores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If we re-test (or re-re-re-test) with the WISC-V a student who previously took the WISC-IV, I think it is prudent to administer Comprehension, Symbol Search, Information (if the student took it on the WISC-IV), Picture Concepts, Arithmetic (if the student took it on the WISC-IV), and especially Letter-Number Sequencing (so we can compare the WISC-IV WMI with the WISC-V AWMI (or, as Laurie Farr Hanks noticed that it is written in one place on the Record Form, AMWI). I use ±2 scaled score points as an approximation for a 95% confidence interval.</w:t>
      </w:r>
      <w:r w:rsidR="00E64AC9">
        <w:rPr>
          <w:rFonts w:ascii="Times New Roman" w:hAnsi="Times New Roman" w:cs="Times New Roman"/>
          <w:sz w:val="24"/>
          <w:szCs w:val="24"/>
        </w:rPr>
        <w:t xml:space="preserve"> There are still the issues of changes in content of the same subtest on the two scales and, of course, the Flynn Effect.</w:t>
      </w:r>
    </w:p>
    <w:bookmarkEnd w:id="0"/>
    <w:p w:rsidR="003A4C63" w:rsidRPr="005B792C" w:rsidRDefault="003A4C63" w:rsidP="003A4C63">
      <w:pPr>
        <w:spacing w:after="1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B792C">
        <w:rPr>
          <w:rFonts w:ascii="Times New Roman" w:hAnsi="Times New Roman" w:cs="Times New Roman"/>
          <w:b/>
          <w:sz w:val="24"/>
          <w:szCs w:val="20"/>
        </w:rPr>
        <w:t>WISC-IV and WISC-V Scores</w:t>
      </w:r>
    </w:p>
    <w:tbl>
      <w:tblPr>
        <w:tblW w:w="10233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39"/>
        <w:gridCol w:w="1015"/>
        <w:gridCol w:w="1015"/>
        <w:gridCol w:w="1016"/>
        <w:gridCol w:w="1016"/>
        <w:gridCol w:w="915"/>
        <w:gridCol w:w="1117"/>
      </w:tblGrid>
      <w:tr w:rsidR="003A4C63" w:rsidRPr="00494BBE" w:rsidTr="00C108CD">
        <w:tc>
          <w:tcPr>
            <w:tcW w:w="41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Index/</w:t>
            </w:r>
            <w:r w:rsidRPr="00494BBE">
              <w:rPr>
                <w:rFonts w:ascii="Times New Roman" w:hAnsi="Times New Roman" w:cs="Times New Roman"/>
                <w:sz w:val="20"/>
                <w:szCs w:val="20"/>
              </w:rPr>
              <w:t>Subtests</w:t>
            </w:r>
          </w:p>
        </w:tc>
        <w:tc>
          <w:tcPr>
            <w:tcW w:w="20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WISC-IV</w:t>
            </w:r>
          </w:p>
        </w:tc>
        <w:tc>
          <w:tcPr>
            <w:tcW w:w="20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WISC-V</w:t>
            </w:r>
          </w:p>
        </w:tc>
        <w:tc>
          <w:tcPr>
            <w:tcW w:w="20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</w:t>
            </w:r>
          </w:p>
        </w:tc>
      </w:tr>
      <w:tr w:rsidR="003A4C63" w:rsidRPr="00494BBE" w:rsidTr="00C108CD">
        <w:tc>
          <w:tcPr>
            <w:tcW w:w="41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 Score/</w:t>
            </w:r>
          </w:p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hAnsi="Times New Roman" w:cs="Times New Roman"/>
                <w:bCs/>
                <w:sz w:val="20"/>
                <w:szCs w:val="20"/>
              </w:rPr>
              <w:t>Scaled Score</w:t>
            </w:r>
            <w:r w:rsidRPr="00600E5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Confidence Interval (95%)</w:t>
            </w:r>
            <w:r w:rsidRPr="00600E5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 Score/</w:t>
            </w:r>
          </w:p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hAnsi="Times New Roman" w:cs="Times New Roman"/>
                <w:bCs/>
                <w:sz w:val="20"/>
                <w:szCs w:val="20"/>
              </w:rPr>
              <w:t>Scaled Score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Confidence Interval (95%)</w:t>
            </w:r>
          </w:p>
        </w:tc>
        <w:tc>
          <w:tcPr>
            <w:tcW w:w="9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the </w:t>
            </w:r>
            <w:r w:rsidRPr="0049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Confidence Bands Overlap?</w:t>
            </w:r>
          </w:p>
        </w:tc>
      </w:tr>
      <w:tr w:rsidR="003A4C63" w:rsidRPr="00494BBE" w:rsidTr="00C108CD"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iCs/>
                <w:sz w:val="20"/>
                <w:szCs w:val="20"/>
              </w:rPr>
              <w:t>  Similarities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*†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iCs/>
                <w:sz w:val="20"/>
                <w:szCs w:val="20"/>
              </w:rPr>
              <w:t>  Vocabulary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*†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Comprehension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091E69" w:rsidRDefault="003A4C63" w:rsidP="00C108C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1E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Information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091E69" w:rsidRDefault="003A4C63" w:rsidP="00C108C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1E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Word Reasoning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Verbal Comprehension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iCs/>
                <w:sz w:val="20"/>
                <w:szCs w:val="20"/>
              </w:rPr>
              <w:t>  Block Design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*†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  Visual Puzzles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Visual-Spatial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iCs/>
                <w:sz w:val="20"/>
                <w:szCs w:val="20"/>
              </w:rPr>
              <w:t>  Matrix Reasoning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*†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iCs/>
                <w:sz w:val="20"/>
                <w:szCs w:val="20"/>
              </w:rPr>
              <w:t>  Figure Weights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†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Picture Concepts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091E69" w:rsidRDefault="003A4C63" w:rsidP="00C108C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1E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Arithmetic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Fluid Reasoning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b/>
                <w:sz w:val="20"/>
                <w:szCs w:val="20"/>
              </w:rPr>
              <w:t>Perceptual Reasoning vs. Visual-Spatial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b/>
                <w:sz w:val="20"/>
                <w:szCs w:val="20"/>
              </w:rPr>
              <w:t>Perceptual Reasoning vs. Fluid Reasoning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Ability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Index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iCs/>
                <w:sz w:val="20"/>
                <w:szCs w:val="20"/>
              </w:rPr>
              <w:t>  Digit Span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*†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 Letter-Number Sequencing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  Picture Span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 Arithmetic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b/>
                <w:sz w:val="20"/>
                <w:szCs w:val="20"/>
              </w:rPr>
              <w:t>(Auditory) Working Memory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4C63" w:rsidRPr="001362AC" w:rsidRDefault="003A4C63" w:rsidP="00C10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A4C63" w:rsidRPr="001362AC" w:rsidRDefault="003A4C63" w:rsidP="00C10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C63" w:rsidRPr="001362AC" w:rsidRDefault="003A4C63" w:rsidP="00C10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A4C63" w:rsidRPr="001362AC" w:rsidRDefault="003A4C63" w:rsidP="00C10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Working Memory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1362AC">
              <w:rPr>
                <w:rFonts w:ascii="Times New Roman" w:hAnsi="Times New Roman" w:cs="Times New Roman"/>
                <w:iCs/>
                <w:sz w:val="20"/>
                <w:szCs w:val="20"/>
              </w:rPr>
              <w:t>Coding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*†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  Symbol 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091E69" w:rsidRDefault="003A4C63" w:rsidP="00C108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1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Cancellation 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3A4C63" w:rsidRPr="00091E69" w:rsidRDefault="003A4C63" w:rsidP="00C108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Processing Speed</w:t>
            </w:r>
          </w:p>
        </w:tc>
        <w:tc>
          <w:tcPr>
            <w:tcW w:w="101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Cognitive Proficiency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Index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C63" w:rsidRPr="00494BBE" w:rsidTr="00C108CD"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C63" w:rsidRPr="001362AC" w:rsidRDefault="003A4C63" w:rsidP="00C1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Full Scale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IQ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A4C63" w:rsidRPr="00494BBE" w:rsidRDefault="003A4C63" w:rsidP="00C10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A4C63" w:rsidRDefault="003A4C63" w:rsidP="003A4C63">
      <w:pPr>
        <w:spacing w:before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1. WISC standard scores have a mean (average) of 100. The middle half of all examinees' standard scores are between 90 and 100.  WISC scaled scores have a mean (average) of 10. The middle half of all examinees' scaled scores are between 8 and 12.</w:t>
      </w:r>
    </w:p>
    <w:p w:rsidR="003A4C63" w:rsidRDefault="003A4C63" w:rsidP="003A4C63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2. On even the very best tests, scores can never be perfectly accurate. Lucky and unlucky guesses, finishing just before or beyond the time </w:t>
      </w:r>
      <w:proofErr w:type="gramStart"/>
      <w:r>
        <w:rPr>
          <w:rFonts w:ascii="Times New Roman" w:hAnsi="Times New Roman" w:cs="Times New Roman"/>
          <w:sz w:val="20"/>
          <w:szCs w:val="24"/>
        </w:rPr>
        <w:t>limit,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and other random factors cause scores to vary.  This score interval shows how much scores are likely to vary randomly 95% of the time.</w:t>
      </w:r>
    </w:p>
    <w:p w:rsidR="003A4C63" w:rsidRDefault="003A4C63" w:rsidP="003A4C63">
      <w:pPr>
        <w:rPr>
          <w:rFonts w:ascii="Times New Roman" w:hAnsi="Times New Roman" w:cs="Times New Roman"/>
          <w:sz w:val="20"/>
          <w:szCs w:val="24"/>
        </w:rPr>
      </w:pPr>
      <w:r w:rsidRPr="00A0497D">
        <w:rPr>
          <w:rFonts w:ascii="Times New Roman" w:hAnsi="Times New Roman" w:cs="Times New Roman"/>
          <w:sz w:val="20"/>
          <w:szCs w:val="24"/>
        </w:rPr>
        <w:t>* Included in WISC-IV Full Scale IQ        † Included in WISC-V Full Scale IQ</w:t>
      </w:r>
    </w:p>
    <w:p w:rsidR="003A4C63" w:rsidRPr="00091E69" w:rsidRDefault="003A4C63" w:rsidP="003A4C63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Subtests in Italics are not included in the index scores.</w:t>
      </w:r>
    </w:p>
    <w:p w:rsidR="00D35D2C" w:rsidRDefault="00F03CA8"/>
    <w:sectPr w:rsidR="00D35D2C" w:rsidSect="00313EB1">
      <w:pgSz w:w="12240" w:h="15840"/>
      <w:pgMar w:top="720" w:right="1008" w:bottom="720" w:left="100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A4C63"/>
    <w:rsid w:val="00022B45"/>
    <w:rsid w:val="00027FD5"/>
    <w:rsid w:val="000A2410"/>
    <w:rsid w:val="001B3EE6"/>
    <w:rsid w:val="00313EB1"/>
    <w:rsid w:val="00335865"/>
    <w:rsid w:val="003A4C63"/>
    <w:rsid w:val="003D553D"/>
    <w:rsid w:val="003F6793"/>
    <w:rsid w:val="004301E5"/>
    <w:rsid w:val="005C29C2"/>
    <w:rsid w:val="005E2050"/>
    <w:rsid w:val="005E68F4"/>
    <w:rsid w:val="006B1317"/>
    <w:rsid w:val="0083335D"/>
    <w:rsid w:val="00860FC9"/>
    <w:rsid w:val="009B02D6"/>
    <w:rsid w:val="00BA3614"/>
    <w:rsid w:val="00BA5AB7"/>
    <w:rsid w:val="00D1126B"/>
    <w:rsid w:val="00DB3BB0"/>
    <w:rsid w:val="00E52723"/>
    <w:rsid w:val="00E64AC9"/>
    <w:rsid w:val="00EC7712"/>
    <w:rsid w:val="00F03CA8"/>
    <w:rsid w:val="00F7005F"/>
    <w:rsid w:val="00F8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63"/>
    <w:rPr>
      <w:rFonts w:ascii="Verdana" w:eastAsia="Times New Roman" w:hAnsi="Verdana" w:cs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Willis</dc:creator>
  <cp:lastModifiedBy>guymmcbride@gmail.com</cp:lastModifiedBy>
  <cp:revision>2</cp:revision>
  <dcterms:created xsi:type="dcterms:W3CDTF">2016-05-05T14:32:00Z</dcterms:created>
  <dcterms:modified xsi:type="dcterms:W3CDTF">2016-05-05T14:32:00Z</dcterms:modified>
</cp:coreProperties>
</file>