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54" w:rsidRDefault="00867C38" w:rsidP="00DA105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-161925</wp:posOffset>
            </wp:positionV>
            <wp:extent cx="1304925" cy="76708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P-logo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13B">
        <w:rPr>
          <w:b/>
          <w:sz w:val="32"/>
          <w:szCs w:val="32"/>
        </w:rPr>
        <w:t xml:space="preserve">Plugging Into the </w:t>
      </w:r>
      <w:r w:rsidR="00DA1054" w:rsidRPr="00DA1054">
        <w:rPr>
          <w:b/>
          <w:sz w:val="32"/>
          <w:szCs w:val="32"/>
        </w:rPr>
        <w:t>ESSA, MTSS, and the NASP Practice Model</w:t>
      </w:r>
      <w:r w:rsidR="00A1413B">
        <w:rPr>
          <w:b/>
          <w:sz w:val="32"/>
          <w:szCs w:val="32"/>
        </w:rPr>
        <w:t xml:space="preserve"> Crosswalk</w:t>
      </w:r>
    </w:p>
    <w:p w:rsidR="00DA1054" w:rsidRPr="00DA1054" w:rsidRDefault="00A1413B" w:rsidP="00DA105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Planning Worksheet for State and Local Associations</w:t>
      </w:r>
    </w:p>
    <w:p w:rsidR="00867C38" w:rsidRDefault="00867C38"/>
    <w:p w:rsidR="00335372" w:rsidRPr="002B2522" w:rsidRDefault="002A2A2D">
      <w:r w:rsidRPr="002B2522">
        <w:t xml:space="preserve">The </w:t>
      </w:r>
      <w:r w:rsidR="00A1413B">
        <w:t>worksheet</w:t>
      </w:r>
      <w:r w:rsidRPr="002B2522">
        <w:t xml:space="preserve"> below </w:t>
      </w:r>
      <w:r w:rsidR="00A1413B">
        <w:t xml:space="preserve">is to be used with the NASP Crosswalk between ESSA, </w:t>
      </w:r>
      <w:r w:rsidR="00E7368E" w:rsidRPr="002B2522">
        <w:t>MTSS,</w:t>
      </w:r>
      <w:r w:rsidR="00DB5997" w:rsidRPr="002B2522">
        <w:t xml:space="preserve"> </w:t>
      </w:r>
      <w:r w:rsidR="00A1413B">
        <w:t>e</w:t>
      </w:r>
      <w:r w:rsidR="00DB5997" w:rsidRPr="002B2522">
        <w:t xml:space="preserve">ssential </w:t>
      </w:r>
      <w:r w:rsidR="00E7368E" w:rsidRPr="002B2522">
        <w:t>school</w:t>
      </w:r>
      <w:r w:rsidR="00DB5997" w:rsidRPr="002B2522">
        <w:t xml:space="preserve"> practices</w:t>
      </w:r>
      <w:r w:rsidR="00CF48DF">
        <w:t>,</w:t>
      </w:r>
      <w:r w:rsidR="00E7368E" w:rsidRPr="002B2522">
        <w:t xml:space="preserve"> and the broad role of school psychologists working within the scope of services </w:t>
      </w:r>
      <w:r w:rsidR="003F4FC0">
        <w:t>delineated</w:t>
      </w:r>
      <w:r w:rsidR="00E77E94" w:rsidRPr="002B2522">
        <w:t xml:space="preserve"> </w:t>
      </w:r>
      <w:r w:rsidR="00E7368E" w:rsidRPr="002B2522">
        <w:t xml:space="preserve">in the </w:t>
      </w:r>
      <w:r w:rsidR="00463354" w:rsidRPr="002B2522">
        <w:t xml:space="preserve">NASP Practice Model. </w:t>
      </w:r>
      <w:r w:rsidR="00A1413B">
        <w:t xml:space="preserve"> State and local school psychology associations can use the worksheet to begin to identify opportunities, resources, needed capacities and next steps to shaping the role of school psychologist</w:t>
      </w:r>
      <w:r w:rsidR="003F4FC0">
        <w:t>s</w:t>
      </w:r>
      <w:r w:rsidR="00A1413B">
        <w:t xml:space="preserve"> within ESSA implementation efforts</w:t>
      </w:r>
      <w:r w:rsidR="003F4FC0">
        <w:t xml:space="preserve"> in their state</w:t>
      </w:r>
      <w:r w:rsidR="00A1413B">
        <w:t>.</w:t>
      </w:r>
    </w:p>
    <w:tbl>
      <w:tblPr>
        <w:tblStyle w:val="TableGrid"/>
        <w:tblW w:w="0" w:type="auto"/>
        <w:tblLook w:val="04A0"/>
      </w:tblPr>
      <w:tblGrid>
        <w:gridCol w:w="2018"/>
        <w:gridCol w:w="3008"/>
        <w:gridCol w:w="3019"/>
        <w:gridCol w:w="3129"/>
        <w:gridCol w:w="3442"/>
      </w:tblGrid>
      <w:tr w:rsidR="00D21E2E" w:rsidRPr="002B2522" w:rsidTr="00D21E2E">
        <w:trPr>
          <w:tblHeader/>
        </w:trPr>
        <w:tc>
          <w:tcPr>
            <w:tcW w:w="2018" w:type="dxa"/>
            <w:shd w:val="clear" w:color="auto" w:fill="A6A6A6" w:themeFill="background1" w:themeFillShade="A6"/>
          </w:tcPr>
          <w:p w:rsidR="00D21E2E" w:rsidRPr="008304DA" w:rsidRDefault="00D21E2E" w:rsidP="008304DA">
            <w:pPr>
              <w:jc w:val="center"/>
              <w:rPr>
                <w:b/>
                <w:sz w:val="24"/>
                <w:szCs w:val="24"/>
              </w:rPr>
            </w:pPr>
            <w:r w:rsidRPr="008304DA">
              <w:rPr>
                <w:b/>
                <w:sz w:val="24"/>
                <w:szCs w:val="24"/>
              </w:rPr>
              <w:t>Essential School Practices</w:t>
            </w:r>
          </w:p>
        </w:tc>
        <w:tc>
          <w:tcPr>
            <w:tcW w:w="3008" w:type="dxa"/>
            <w:shd w:val="clear" w:color="auto" w:fill="A6A6A6" w:themeFill="background1" w:themeFillShade="A6"/>
          </w:tcPr>
          <w:p w:rsidR="00D21E2E" w:rsidRDefault="00D21E2E" w:rsidP="005C7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Relevant State or Local Laws and Programs </w:t>
            </w:r>
          </w:p>
          <w:p w:rsidR="00D21E2E" w:rsidRPr="008304DA" w:rsidRDefault="00D21E2E" w:rsidP="00830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(Risks and Opportunities)</w:t>
            </w:r>
          </w:p>
        </w:tc>
        <w:tc>
          <w:tcPr>
            <w:tcW w:w="3019" w:type="dxa"/>
            <w:shd w:val="clear" w:color="auto" w:fill="A6A6A6" w:themeFill="background1" w:themeFillShade="A6"/>
          </w:tcPr>
          <w:p w:rsidR="00D21E2E" w:rsidRDefault="00D21E2E" w:rsidP="005C7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Examples of </w:t>
            </w:r>
            <w:r w:rsidRPr="008304DA">
              <w:rPr>
                <w:b/>
                <w:sz w:val="24"/>
                <w:szCs w:val="24"/>
              </w:rPr>
              <w:t xml:space="preserve">Relevant </w:t>
            </w:r>
          </w:p>
          <w:p w:rsidR="00D21E2E" w:rsidRPr="008304DA" w:rsidRDefault="00D21E2E" w:rsidP="00A1413B">
            <w:pPr>
              <w:jc w:val="center"/>
              <w:rPr>
                <w:b/>
                <w:sz w:val="24"/>
                <w:szCs w:val="24"/>
              </w:rPr>
            </w:pPr>
            <w:r w:rsidRPr="008304DA">
              <w:rPr>
                <w:b/>
                <w:sz w:val="24"/>
                <w:szCs w:val="24"/>
              </w:rPr>
              <w:t>School Psychological Services</w:t>
            </w:r>
          </w:p>
        </w:tc>
        <w:tc>
          <w:tcPr>
            <w:tcW w:w="3129" w:type="dxa"/>
            <w:shd w:val="clear" w:color="auto" w:fill="A6A6A6" w:themeFill="background1" w:themeFillShade="A6"/>
          </w:tcPr>
          <w:p w:rsidR="00D21E2E" w:rsidRPr="008304DA" w:rsidRDefault="00D21E2E" w:rsidP="00830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of Advocacy Efforts (Asks and Key Messages)</w:t>
            </w:r>
          </w:p>
        </w:tc>
        <w:tc>
          <w:tcPr>
            <w:tcW w:w="3442" w:type="dxa"/>
            <w:shd w:val="clear" w:color="auto" w:fill="A6A6A6" w:themeFill="background1" w:themeFillShade="A6"/>
          </w:tcPr>
          <w:p w:rsidR="00D21E2E" w:rsidRDefault="00D21E2E" w:rsidP="00830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Capacities, Action Steps, Key Participants (Doers) and Stakeholders</w:t>
            </w:r>
          </w:p>
        </w:tc>
      </w:tr>
      <w:tr w:rsidR="00A1413B" w:rsidRPr="002B2522" w:rsidTr="00D21E2E">
        <w:tc>
          <w:tcPr>
            <w:tcW w:w="2018" w:type="dxa"/>
          </w:tcPr>
          <w:p w:rsidR="00A1413B" w:rsidRPr="00A1413B" w:rsidRDefault="00A1413B" w:rsidP="00561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A1413B">
              <w:rPr>
                <w:b/>
                <w:sz w:val="24"/>
                <w:szCs w:val="24"/>
              </w:rPr>
              <w:t>Effective, coordinated use of data that informs instruction, student and school outcomes, and school accountability</w:t>
            </w:r>
          </w:p>
        </w:tc>
        <w:tc>
          <w:tcPr>
            <w:tcW w:w="3008" w:type="dxa"/>
          </w:tcPr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Pr="002B2522" w:rsidRDefault="00A1413B"/>
        </w:tc>
        <w:tc>
          <w:tcPr>
            <w:tcW w:w="3019" w:type="dxa"/>
          </w:tcPr>
          <w:p w:rsidR="00A1413B" w:rsidRPr="002B2522" w:rsidRDefault="00A1413B" w:rsidP="00A06B94"/>
        </w:tc>
        <w:tc>
          <w:tcPr>
            <w:tcW w:w="3129" w:type="dxa"/>
          </w:tcPr>
          <w:p w:rsidR="00A1413B" w:rsidRPr="002B2522" w:rsidRDefault="00A1413B" w:rsidP="004B7931">
            <w:pPr>
              <w:jc w:val="right"/>
            </w:pPr>
          </w:p>
        </w:tc>
        <w:tc>
          <w:tcPr>
            <w:tcW w:w="3442" w:type="dxa"/>
          </w:tcPr>
          <w:p w:rsidR="00A1413B" w:rsidRPr="002B2522" w:rsidRDefault="00A1413B" w:rsidP="004B7931">
            <w:pPr>
              <w:jc w:val="right"/>
            </w:pPr>
          </w:p>
        </w:tc>
      </w:tr>
      <w:tr w:rsidR="00A1413B" w:rsidRPr="002B2522" w:rsidTr="00D21E2E">
        <w:tc>
          <w:tcPr>
            <w:tcW w:w="2018" w:type="dxa"/>
          </w:tcPr>
          <w:p w:rsidR="00A1413B" w:rsidRPr="00A1413B" w:rsidRDefault="00A1413B" w:rsidP="00962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 w:rsidRPr="00A1413B">
              <w:rPr>
                <w:b/>
                <w:sz w:val="24"/>
                <w:szCs w:val="24"/>
              </w:rPr>
              <w:t xml:space="preserve">Comprehensive, rigorous curricula provided to </w:t>
            </w:r>
            <w:r w:rsidRPr="00A1413B">
              <w:rPr>
                <w:b/>
                <w:i/>
                <w:sz w:val="24"/>
                <w:szCs w:val="24"/>
              </w:rPr>
              <w:t>ALL</w:t>
            </w:r>
            <w:r w:rsidRPr="00A1413B">
              <w:rPr>
                <w:b/>
                <w:sz w:val="24"/>
                <w:szCs w:val="24"/>
              </w:rPr>
              <w:t xml:space="preserve"> students</w:t>
            </w:r>
          </w:p>
        </w:tc>
        <w:tc>
          <w:tcPr>
            <w:tcW w:w="3008" w:type="dxa"/>
          </w:tcPr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Pr="002B2522" w:rsidRDefault="00A1413B"/>
        </w:tc>
        <w:tc>
          <w:tcPr>
            <w:tcW w:w="3019" w:type="dxa"/>
          </w:tcPr>
          <w:p w:rsidR="00A1413B" w:rsidRPr="002B2522" w:rsidRDefault="00A1413B" w:rsidP="00523365"/>
        </w:tc>
        <w:tc>
          <w:tcPr>
            <w:tcW w:w="3129" w:type="dxa"/>
          </w:tcPr>
          <w:p w:rsidR="00A1413B" w:rsidRPr="002B2522" w:rsidRDefault="00A1413B" w:rsidP="00A06B94">
            <w:pPr>
              <w:jc w:val="right"/>
            </w:pPr>
          </w:p>
        </w:tc>
        <w:tc>
          <w:tcPr>
            <w:tcW w:w="3442" w:type="dxa"/>
          </w:tcPr>
          <w:p w:rsidR="00A1413B" w:rsidRPr="002B2522" w:rsidRDefault="00A1413B" w:rsidP="00A06B94">
            <w:pPr>
              <w:jc w:val="right"/>
            </w:pPr>
          </w:p>
        </w:tc>
      </w:tr>
      <w:tr w:rsidR="00A1413B" w:rsidRPr="002B2522" w:rsidTr="00D21E2E">
        <w:tc>
          <w:tcPr>
            <w:tcW w:w="2018" w:type="dxa"/>
          </w:tcPr>
          <w:p w:rsidR="00A1413B" w:rsidRPr="00A1413B" w:rsidRDefault="00A1413B" w:rsidP="00962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A1413B">
              <w:rPr>
                <w:b/>
                <w:sz w:val="24"/>
                <w:szCs w:val="24"/>
              </w:rPr>
              <w:t>Effective coordination of services across systems and within schools</w:t>
            </w:r>
          </w:p>
        </w:tc>
        <w:tc>
          <w:tcPr>
            <w:tcW w:w="3008" w:type="dxa"/>
          </w:tcPr>
          <w:p w:rsidR="00A1413B" w:rsidRDefault="00A1413B" w:rsidP="004560D9"/>
          <w:p w:rsidR="00A1413B" w:rsidRDefault="00A1413B" w:rsidP="004560D9"/>
          <w:p w:rsidR="00A1413B" w:rsidRDefault="00A1413B" w:rsidP="004560D9"/>
          <w:p w:rsidR="00A1413B" w:rsidRDefault="00A1413B" w:rsidP="004560D9"/>
          <w:p w:rsidR="00A1413B" w:rsidRDefault="00A1413B" w:rsidP="004560D9"/>
          <w:p w:rsidR="00A1413B" w:rsidRDefault="00A1413B" w:rsidP="004560D9"/>
          <w:p w:rsidR="00A1413B" w:rsidRDefault="00A1413B" w:rsidP="004560D9"/>
          <w:p w:rsidR="00A1413B" w:rsidRDefault="00A1413B" w:rsidP="004560D9"/>
          <w:p w:rsidR="00A1413B" w:rsidRDefault="00A1413B" w:rsidP="004560D9"/>
          <w:p w:rsidR="00A1413B" w:rsidRDefault="00A1413B" w:rsidP="004560D9"/>
          <w:p w:rsidR="00A1413B" w:rsidRDefault="00A1413B" w:rsidP="004560D9"/>
          <w:p w:rsidR="00A1413B" w:rsidRDefault="00A1413B" w:rsidP="004560D9"/>
          <w:p w:rsidR="00A1413B" w:rsidRDefault="00A1413B" w:rsidP="004560D9"/>
          <w:p w:rsidR="00A1413B" w:rsidRDefault="00A1413B" w:rsidP="004560D9"/>
          <w:p w:rsidR="00A1413B" w:rsidRDefault="00A1413B" w:rsidP="004560D9"/>
          <w:p w:rsidR="00A1413B" w:rsidRDefault="00A1413B" w:rsidP="004560D9"/>
          <w:p w:rsidR="00A1413B" w:rsidRDefault="00A1413B" w:rsidP="004560D9"/>
          <w:p w:rsidR="00A1413B" w:rsidRDefault="00A1413B" w:rsidP="004560D9"/>
          <w:p w:rsidR="00A1413B" w:rsidRPr="002B2522" w:rsidRDefault="00A1413B" w:rsidP="004560D9"/>
        </w:tc>
        <w:tc>
          <w:tcPr>
            <w:tcW w:w="3019" w:type="dxa"/>
          </w:tcPr>
          <w:p w:rsidR="00A1413B" w:rsidRPr="002B2522" w:rsidRDefault="00A1413B" w:rsidP="00C04991"/>
        </w:tc>
        <w:tc>
          <w:tcPr>
            <w:tcW w:w="3129" w:type="dxa"/>
          </w:tcPr>
          <w:p w:rsidR="00A1413B" w:rsidRPr="002B2522" w:rsidRDefault="00A1413B" w:rsidP="00A06B94">
            <w:pPr>
              <w:jc w:val="right"/>
            </w:pPr>
          </w:p>
        </w:tc>
        <w:tc>
          <w:tcPr>
            <w:tcW w:w="3442" w:type="dxa"/>
          </w:tcPr>
          <w:p w:rsidR="00A1413B" w:rsidRPr="002B2522" w:rsidRDefault="00A1413B" w:rsidP="00A06B94">
            <w:pPr>
              <w:jc w:val="right"/>
            </w:pPr>
          </w:p>
        </w:tc>
      </w:tr>
      <w:tr w:rsidR="00A1413B" w:rsidRPr="002B2522" w:rsidTr="00D21E2E">
        <w:tc>
          <w:tcPr>
            <w:tcW w:w="2018" w:type="dxa"/>
          </w:tcPr>
          <w:p w:rsidR="00A1413B" w:rsidRPr="00A1413B" w:rsidRDefault="00A1413B" w:rsidP="00EC1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</w:t>
            </w:r>
            <w:r w:rsidRPr="00A1413B">
              <w:rPr>
                <w:b/>
                <w:sz w:val="24"/>
                <w:szCs w:val="24"/>
              </w:rPr>
              <w:t>Use of evidence-based comprehensive learning supports</w:t>
            </w:r>
          </w:p>
        </w:tc>
        <w:tc>
          <w:tcPr>
            <w:tcW w:w="3008" w:type="dxa"/>
          </w:tcPr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Pr="002B2522" w:rsidRDefault="00A1413B" w:rsidP="00A1413B"/>
        </w:tc>
        <w:tc>
          <w:tcPr>
            <w:tcW w:w="3019" w:type="dxa"/>
          </w:tcPr>
          <w:p w:rsidR="00A1413B" w:rsidRPr="002B2522" w:rsidRDefault="00A1413B" w:rsidP="00BC2099"/>
        </w:tc>
        <w:tc>
          <w:tcPr>
            <w:tcW w:w="3129" w:type="dxa"/>
          </w:tcPr>
          <w:p w:rsidR="00A1413B" w:rsidRPr="002B2522" w:rsidRDefault="00A1413B" w:rsidP="00A06B94">
            <w:pPr>
              <w:jc w:val="right"/>
            </w:pPr>
          </w:p>
        </w:tc>
        <w:tc>
          <w:tcPr>
            <w:tcW w:w="3442" w:type="dxa"/>
          </w:tcPr>
          <w:p w:rsidR="00A1413B" w:rsidRPr="002B2522" w:rsidRDefault="00A1413B" w:rsidP="00A06B94">
            <w:pPr>
              <w:jc w:val="right"/>
            </w:pPr>
          </w:p>
        </w:tc>
      </w:tr>
      <w:tr w:rsidR="00A1413B" w:rsidRPr="002B2522" w:rsidTr="00D21E2E">
        <w:tc>
          <w:tcPr>
            <w:tcW w:w="2018" w:type="dxa"/>
          </w:tcPr>
          <w:p w:rsidR="00A1413B" w:rsidRPr="00A1413B" w:rsidRDefault="00A1413B" w:rsidP="00F105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A1413B">
              <w:rPr>
                <w:b/>
                <w:sz w:val="24"/>
                <w:szCs w:val="24"/>
              </w:rPr>
              <w:t>Integration of comprehensive school mental and behavioral health services into learning supports</w:t>
            </w:r>
          </w:p>
        </w:tc>
        <w:tc>
          <w:tcPr>
            <w:tcW w:w="3008" w:type="dxa"/>
          </w:tcPr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Default="00A1413B" w:rsidP="00A1413B"/>
          <w:p w:rsidR="00A1413B" w:rsidRPr="002B2522" w:rsidRDefault="00A1413B" w:rsidP="00A1413B"/>
        </w:tc>
        <w:tc>
          <w:tcPr>
            <w:tcW w:w="3019" w:type="dxa"/>
          </w:tcPr>
          <w:p w:rsidR="00A1413B" w:rsidRPr="002B2522" w:rsidRDefault="00A1413B" w:rsidP="00787F86"/>
        </w:tc>
        <w:tc>
          <w:tcPr>
            <w:tcW w:w="3129" w:type="dxa"/>
          </w:tcPr>
          <w:p w:rsidR="00A1413B" w:rsidRPr="002B2522" w:rsidRDefault="00A1413B" w:rsidP="00A06B94">
            <w:pPr>
              <w:jc w:val="right"/>
            </w:pPr>
          </w:p>
        </w:tc>
        <w:tc>
          <w:tcPr>
            <w:tcW w:w="3442" w:type="dxa"/>
          </w:tcPr>
          <w:p w:rsidR="00A1413B" w:rsidRPr="002B2522" w:rsidRDefault="00A1413B" w:rsidP="00A06B94">
            <w:pPr>
              <w:jc w:val="right"/>
            </w:pPr>
          </w:p>
        </w:tc>
      </w:tr>
      <w:tr w:rsidR="00A1413B" w:rsidRPr="002B2522" w:rsidTr="00D21E2E">
        <w:tc>
          <w:tcPr>
            <w:tcW w:w="2018" w:type="dxa"/>
          </w:tcPr>
          <w:p w:rsidR="00A1413B" w:rsidRPr="00A1413B" w:rsidRDefault="00A1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6. </w:t>
            </w:r>
            <w:r w:rsidRPr="00A1413B">
              <w:rPr>
                <w:b/>
                <w:sz w:val="24"/>
                <w:szCs w:val="24"/>
              </w:rPr>
              <w:t xml:space="preserve">Integration of school climate and safety efforts into school improvement efforts </w:t>
            </w:r>
          </w:p>
        </w:tc>
        <w:tc>
          <w:tcPr>
            <w:tcW w:w="3008" w:type="dxa"/>
          </w:tcPr>
          <w:p w:rsidR="00A1413B" w:rsidRDefault="00A1413B" w:rsidP="000A4182"/>
          <w:p w:rsidR="00A1413B" w:rsidRDefault="00A1413B" w:rsidP="000A4182"/>
          <w:p w:rsidR="00A1413B" w:rsidRDefault="00A1413B" w:rsidP="000A4182"/>
          <w:p w:rsidR="00A1413B" w:rsidRDefault="00A1413B" w:rsidP="000A4182"/>
          <w:p w:rsidR="00A1413B" w:rsidRDefault="00A1413B" w:rsidP="000A4182"/>
          <w:p w:rsidR="00A1413B" w:rsidRDefault="00A1413B" w:rsidP="000A4182"/>
          <w:p w:rsidR="00A1413B" w:rsidRDefault="00A1413B" w:rsidP="000A4182"/>
          <w:p w:rsidR="00A1413B" w:rsidRDefault="00A1413B" w:rsidP="000A4182"/>
          <w:p w:rsidR="00A1413B" w:rsidRDefault="00A1413B" w:rsidP="000A4182"/>
          <w:p w:rsidR="00A1413B" w:rsidRDefault="00A1413B" w:rsidP="000A4182"/>
          <w:p w:rsidR="00A1413B" w:rsidRDefault="00A1413B" w:rsidP="000A4182"/>
          <w:p w:rsidR="00A1413B" w:rsidRDefault="00A1413B" w:rsidP="000A4182"/>
          <w:p w:rsidR="00A1413B" w:rsidRDefault="00A1413B" w:rsidP="000A4182"/>
          <w:p w:rsidR="00A1413B" w:rsidRDefault="00A1413B" w:rsidP="000A4182"/>
          <w:p w:rsidR="00A1413B" w:rsidRDefault="00A1413B" w:rsidP="000A4182"/>
          <w:p w:rsidR="00A1413B" w:rsidRDefault="00A1413B" w:rsidP="000A4182"/>
          <w:p w:rsidR="00A1413B" w:rsidRPr="002B2522" w:rsidRDefault="00A1413B" w:rsidP="000A4182"/>
        </w:tc>
        <w:tc>
          <w:tcPr>
            <w:tcW w:w="3019" w:type="dxa"/>
          </w:tcPr>
          <w:p w:rsidR="00A1413B" w:rsidRPr="002B2522" w:rsidRDefault="00A1413B" w:rsidP="000A4182"/>
        </w:tc>
        <w:tc>
          <w:tcPr>
            <w:tcW w:w="3129" w:type="dxa"/>
          </w:tcPr>
          <w:p w:rsidR="00A1413B" w:rsidRPr="00D81600" w:rsidRDefault="00A1413B" w:rsidP="00B75EA5">
            <w:pPr>
              <w:jc w:val="right"/>
              <w:rPr>
                <w:b/>
              </w:rPr>
            </w:pPr>
          </w:p>
        </w:tc>
        <w:tc>
          <w:tcPr>
            <w:tcW w:w="3442" w:type="dxa"/>
          </w:tcPr>
          <w:p w:rsidR="00A1413B" w:rsidRPr="00D81600" w:rsidRDefault="00A1413B" w:rsidP="00B75EA5">
            <w:pPr>
              <w:jc w:val="right"/>
              <w:rPr>
                <w:b/>
              </w:rPr>
            </w:pPr>
          </w:p>
        </w:tc>
      </w:tr>
      <w:tr w:rsidR="00A1413B" w:rsidRPr="002B2522" w:rsidTr="00D21E2E">
        <w:tc>
          <w:tcPr>
            <w:tcW w:w="2018" w:type="dxa"/>
          </w:tcPr>
          <w:p w:rsidR="00A1413B" w:rsidRPr="00A1413B" w:rsidRDefault="00A1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A1413B">
              <w:rPr>
                <w:b/>
                <w:sz w:val="24"/>
                <w:szCs w:val="24"/>
              </w:rPr>
              <w:t>Provision of high quality, relevant professional development</w:t>
            </w:r>
          </w:p>
        </w:tc>
        <w:tc>
          <w:tcPr>
            <w:tcW w:w="3008" w:type="dxa"/>
          </w:tcPr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Default="00A1413B"/>
          <w:p w:rsidR="00A1413B" w:rsidRPr="002B2522" w:rsidRDefault="00A1413B"/>
        </w:tc>
        <w:tc>
          <w:tcPr>
            <w:tcW w:w="3019" w:type="dxa"/>
          </w:tcPr>
          <w:p w:rsidR="00A1413B" w:rsidRPr="002B2522" w:rsidRDefault="00A1413B" w:rsidP="00A1413B">
            <w:pPr>
              <w:ind w:left="360"/>
            </w:pPr>
          </w:p>
        </w:tc>
        <w:tc>
          <w:tcPr>
            <w:tcW w:w="3129" w:type="dxa"/>
          </w:tcPr>
          <w:p w:rsidR="00A1413B" w:rsidRPr="00BC1CFA" w:rsidRDefault="00A1413B" w:rsidP="00B75EA5">
            <w:pPr>
              <w:jc w:val="right"/>
            </w:pPr>
          </w:p>
        </w:tc>
        <w:tc>
          <w:tcPr>
            <w:tcW w:w="3442" w:type="dxa"/>
          </w:tcPr>
          <w:p w:rsidR="00A1413B" w:rsidRPr="00BC1CFA" w:rsidRDefault="00A1413B" w:rsidP="00B75EA5">
            <w:pPr>
              <w:jc w:val="right"/>
            </w:pPr>
          </w:p>
        </w:tc>
      </w:tr>
      <w:tr w:rsidR="00A1413B" w:rsidRPr="002B2522" w:rsidTr="00D21E2E">
        <w:tc>
          <w:tcPr>
            <w:tcW w:w="2018" w:type="dxa"/>
          </w:tcPr>
          <w:p w:rsidR="00A1413B" w:rsidRPr="00A1413B" w:rsidRDefault="00A1413B" w:rsidP="00011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8. </w:t>
            </w:r>
            <w:r w:rsidRPr="00A1413B">
              <w:rPr>
                <w:b/>
                <w:sz w:val="24"/>
                <w:szCs w:val="24"/>
              </w:rPr>
              <w:t>Maintain a Comprehensive Accountability System</w:t>
            </w:r>
          </w:p>
        </w:tc>
        <w:tc>
          <w:tcPr>
            <w:tcW w:w="3008" w:type="dxa"/>
          </w:tcPr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Default="00A1413B" w:rsidP="00B75EA5"/>
          <w:p w:rsidR="00A1413B" w:rsidRPr="002B2522" w:rsidRDefault="00A1413B" w:rsidP="00B75EA5"/>
        </w:tc>
        <w:tc>
          <w:tcPr>
            <w:tcW w:w="3019" w:type="dxa"/>
          </w:tcPr>
          <w:p w:rsidR="00A1413B" w:rsidRPr="002B2522" w:rsidRDefault="00A1413B" w:rsidP="00A41C0A"/>
        </w:tc>
        <w:tc>
          <w:tcPr>
            <w:tcW w:w="3129" w:type="dxa"/>
          </w:tcPr>
          <w:p w:rsidR="00A1413B" w:rsidRPr="002B2522" w:rsidRDefault="00A1413B" w:rsidP="00B75EA5">
            <w:pPr>
              <w:jc w:val="right"/>
            </w:pPr>
          </w:p>
        </w:tc>
        <w:tc>
          <w:tcPr>
            <w:tcW w:w="3442" w:type="dxa"/>
          </w:tcPr>
          <w:p w:rsidR="00A1413B" w:rsidRPr="002B2522" w:rsidRDefault="00A1413B" w:rsidP="00B75EA5">
            <w:pPr>
              <w:jc w:val="right"/>
            </w:pPr>
          </w:p>
        </w:tc>
      </w:tr>
    </w:tbl>
    <w:p w:rsidR="00653109" w:rsidRDefault="00653109" w:rsidP="0065310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6"/>
          <w:szCs w:val="26"/>
        </w:rPr>
      </w:pPr>
    </w:p>
    <w:p w:rsidR="00653109" w:rsidRDefault="00653109" w:rsidP="0065310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6"/>
          <w:szCs w:val="26"/>
        </w:rPr>
      </w:pPr>
    </w:p>
    <w:p w:rsidR="00653109" w:rsidRDefault="00653109" w:rsidP="00653109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EC0B7C">
        <w:rPr>
          <w:rFonts w:asciiTheme="minorHAnsi" w:hAnsiTheme="minorHAnsi"/>
          <w:b/>
          <w:sz w:val="26"/>
          <w:szCs w:val="26"/>
        </w:rPr>
        <w:t xml:space="preserve">Download the actual Crosswalk and </w:t>
      </w:r>
      <w:r>
        <w:rPr>
          <w:rFonts w:asciiTheme="minorHAnsi" w:hAnsiTheme="minorHAnsi"/>
          <w:b/>
          <w:sz w:val="26"/>
          <w:szCs w:val="26"/>
        </w:rPr>
        <w:t>an example of the</w:t>
      </w:r>
      <w:r w:rsidRPr="00EC0B7C">
        <w:rPr>
          <w:rFonts w:asciiTheme="minorHAnsi" w:hAnsiTheme="minorHAnsi"/>
          <w:b/>
          <w:sz w:val="26"/>
          <w:szCs w:val="26"/>
        </w:rPr>
        <w:t xml:space="preserve"> Crosswalk Worksheet</w:t>
      </w:r>
      <w:r>
        <w:rPr>
          <w:rFonts w:asciiTheme="minorHAnsi" w:hAnsiTheme="minorHAnsi"/>
          <w:b/>
          <w:sz w:val="26"/>
          <w:szCs w:val="26"/>
        </w:rPr>
        <w:t xml:space="preserve"> filled in</w:t>
      </w:r>
      <w:r w:rsidRPr="00EC0B7C">
        <w:rPr>
          <w:rFonts w:asciiTheme="minorHAnsi" w:hAnsiTheme="minorHAnsi"/>
          <w:b/>
          <w:sz w:val="26"/>
          <w:szCs w:val="26"/>
        </w:rPr>
        <w:t xml:space="preserve"> at </w:t>
      </w:r>
      <w:hyperlink r:id="rId9" w:history="1">
        <w:r w:rsidRPr="00EC0B7C">
          <w:rPr>
            <w:rStyle w:val="Hyperlink"/>
            <w:rFonts w:asciiTheme="minorHAnsi" w:hAnsiTheme="minorHAnsi" w:cs="Tahoma"/>
            <w:b/>
            <w:sz w:val="26"/>
            <w:szCs w:val="26"/>
          </w:rPr>
          <w:t>www.nasponline.org/practice-model/ESSA-MTSS-crosswalk</w:t>
        </w:r>
      </w:hyperlink>
      <w:r w:rsidRPr="00EC0B7C">
        <w:rPr>
          <w:rFonts w:asciiTheme="minorHAnsi" w:hAnsiTheme="minorHAnsi" w:cs="Tahoma"/>
          <w:b/>
          <w:color w:val="000000"/>
          <w:sz w:val="26"/>
          <w:szCs w:val="26"/>
        </w:rPr>
        <w:t xml:space="preserve"> </w:t>
      </w:r>
    </w:p>
    <w:p w:rsidR="00840D91" w:rsidRDefault="00840D91">
      <w:pPr>
        <w:rPr>
          <w:b/>
          <w:sz w:val="28"/>
          <w:szCs w:val="28"/>
        </w:rPr>
      </w:pPr>
    </w:p>
    <w:sectPr w:rsidR="00840D91" w:rsidSect="00A141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291A5D" w15:done="0"/>
  <w15:commentEx w15:paraId="7D68C295" w15:paraIdParent="18291A5D" w15:done="0"/>
  <w15:commentEx w15:paraId="1A3C9CC8" w15:done="0"/>
  <w15:commentEx w15:paraId="4853C40F" w15:done="0"/>
  <w15:commentEx w15:paraId="6D3BAD40" w15:done="0"/>
  <w15:commentEx w15:paraId="0EFF2A72" w15:done="0"/>
  <w15:commentEx w15:paraId="66CF868F" w15:paraIdParent="0EFF2A72" w15:done="0"/>
  <w15:commentEx w15:paraId="05252928" w15:done="0"/>
  <w15:commentEx w15:paraId="763B1FC0" w15:done="0"/>
  <w15:commentEx w15:paraId="47CBA837" w15:done="0"/>
  <w15:commentEx w15:paraId="601F5162" w15:done="0"/>
  <w15:commentEx w15:paraId="7812DE5A" w15:done="0"/>
  <w15:commentEx w15:paraId="7BC1ABF9" w15:done="0"/>
  <w15:commentEx w15:paraId="78B04D21" w15:done="0"/>
  <w15:commentEx w15:paraId="6F316042" w15:done="0"/>
  <w15:commentEx w15:paraId="4F87A63A" w15:done="0"/>
  <w15:commentEx w15:paraId="116B2754" w15:done="0"/>
  <w15:commentEx w15:paraId="6D941DEA" w15:done="0"/>
  <w15:commentEx w15:paraId="4EBB8358" w15:paraIdParent="6D941DE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59" w:rsidRDefault="00B63A59" w:rsidP="0081585F">
      <w:pPr>
        <w:spacing w:after="0" w:line="240" w:lineRule="auto"/>
      </w:pPr>
      <w:r>
        <w:separator/>
      </w:r>
    </w:p>
  </w:endnote>
  <w:endnote w:type="continuationSeparator" w:id="0">
    <w:p w:rsidR="00B63A59" w:rsidRDefault="00B63A59" w:rsidP="0081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59" w:rsidRDefault="00B63A59" w:rsidP="0081585F">
      <w:pPr>
        <w:spacing w:after="0" w:line="240" w:lineRule="auto"/>
      </w:pPr>
      <w:r>
        <w:separator/>
      </w:r>
    </w:p>
  </w:footnote>
  <w:footnote w:type="continuationSeparator" w:id="0">
    <w:p w:rsidR="00B63A59" w:rsidRDefault="00B63A59" w:rsidP="0081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78B"/>
    <w:multiLevelType w:val="hybridMultilevel"/>
    <w:tmpl w:val="40A68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626EE"/>
    <w:multiLevelType w:val="hybridMultilevel"/>
    <w:tmpl w:val="5282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E6D4B"/>
    <w:multiLevelType w:val="hybridMultilevel"/>
    <w:tmpl w:val="69625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12FD9"/>
    <w:multiLevelType w:val="hybridMultilevel"/>
    <w:tmpl w:val="9DB6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10E7"/>
    <w:multiLevelType w:val="hybridMultilevel"/>
    <w:tmpl w:val="3A7CF95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0C26C5A"/>
    <w:multiLevelType w:val="hybridMultilevel"/>
    <w:tmpl w:val="0136D24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287972F6"/>
    <w:multiLevelType w:val="hybridMultilevel"/>
    <w:tmpl w:val="55D6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C6372"/>
    <w:multiLevelType w:val="hybridMultilevel"/>
    <w:tmpl w:val="C52E1F9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293101DF"/>
    <w:multiLevelType w:val="multilevel"/>
    <w:tmpl w:val="7B1C4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E844B1F"/>
    <w:multiLevelType w:val="hybridMultilevel"/>
    <w:tmpl w:val="6546A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5A161D"/>
    <w:multiLevelType w:val="hybridMultilevel"/>
    <w:tmpl w:val="23C46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C1467"/>
    <w:multiLevelType w:val="multilevel"/>
    <w:tmpl w:val="D87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182860"/>
    <w:multiLevelType w:val="hybridMultilevel"/>
    <w:tmpl w:val="2B12A9E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38571A8C"/>
    <w:multiLevelType w:val="hybridMultilevel"/>
    <w:tmpl w:val="3620B78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3A744685"/>
    <w:multiLevelType w:val="hybridMultilevel"/>
    <w:tmpl w:val="94A29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0442A3"/>
    <w:multiLevelType w:val="hybridMultilevel"/>
    <w:tmpl w:val="6AF25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3179C5"/>
    <w:multiLevelType w:val="hybridMultilevel"/>
    <w:tmpl w:val="8DCE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C29FA"/>
    <w:multiLevelType w:val="hybridMultilevel"/>
    <w:tmpl w:val="2092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C251B"/>
    <w:multiLevelType w:val="hybridMultilevel"/>
    <w:tmpl w:val="90663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FE2846"/>
    <w:multiLevelType w:val="hybridMultilevel"/>
    <w:tmpl w:val="931292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C6701B"/>
    <w:multiLevelType w:val="hybridMultilevel"/>
    <w:tmpl w:val="B4A8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030F1"/>
    <w:multiLevelType w:val="hybridMultilevel"/>
    <w:tmpl w:val="8AF8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94929"/>
    <w:multiLevelType w:val="hybridMultilevel"/>
    <w:tmpl w:val="BF6643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92E08E9"/>
    <w:multiLevelType w:val="hybridMultilevel"/>
    <w:tmpl w:val="1370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27C35"/>
    <w:multiLevelType w:val="hybridMultilevel"/>
    <w:tmpl w:val="A99A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008CB"/>
    <w:multiLevelType w:val="hybridMultilevel"/>
    <w:tmpl w:val="EBBE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C4301"/>
    <w:multiLevelType w:val="hybridMultilevel"/>
    <w:tmpl w:val="7C0E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12A0"/>
    <w:multiLevelType w:val="hybridMultilevel"/>
    <w:tmpl w:val="7D220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A82F26"/>
    <w:multiLevelType w:val="hybridMultilevel"/>
    <w:tmpl w:val="E4901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A066DB"/>
    <w:multiLevelType w:val="hybridMultilevel"/>
    <w:tmpl w:val="7C9AC7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>
    <w:nsid w:val="67F2002C"/>
    <w:multiLevelType w:val="hybridMultilevel"/>
    <w:tmpl w:val="68AA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668FD"/>
    <w:multiLevelType w:val="hybridMultilevel"/>
    <w:tmpl w:val="1C0C6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9E6E06"/>
    <w:multiLevelType w:val="hybridMultilevel"/>
    <w:tmpl w:val="6460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564D8"/>
    <w:multiLevelType w:val="hybridMultilevel"/>
    <w:tmpl w:val="E3D0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C42AD"/>
    <w:multiLevelType w:val="hybridMultilevel"/>
    <w:tmpl w:val="4DE23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832659"/>
    <w:multiLevelType w:val="hybridMultilevel"/>
    <w:tmpl w:val="A1723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16"/>
  </w:num>
  <w:num w:numId="5">
    <w:abstractNumId w:val="14"/>
  </w:num>
  <w:num w:numId="6">
    <w:abstractNumId w:val="20"/>
  </w:num>
  <w:num w:numId="7">
    <w:abstractNumId w:val="32"/>
  </w:num>
  <w:num w:numId="8">
    <w:abstractNumId w:val="22"/>
  </w:num>
  <w:num w:numId="9">
    <w:abstractNumId w:val="8"/>
  </w:num>
  <w:num w:numId="10">
    <w:abstractNumId w:val="10"/>
  </w:num>
  <w:num w:numId="11">
    <w:abstractNumId w:val="19"/>
  </w:num>
  <w:num w:numId="12">
    <w:abstractNumId w:val="25"/>
  </w:num>
  <w:num w:numId="13">
    <w:abstractNumId w:val="21"/>
  </w:num>
  <w:num w:numId="14">
    <w:abstractNumId w:val="15"/>
  </w:num>
  <w:num w:numId="15">
    <w:abstractNumId w:val="31"/>
  </w:num>
  <w:num w:numId="16">
    <w:abstractNumId w:val="28"/>
  </w:num>
  <w:num w:numId="17">
    <w:abstractNumId w:val="12"/>
  </w:num>
  <w:num w:numId="18">
    <w:abstractNumId w:val="7"/>
  </w:num>
  <w:num w:numId="19">
    <w:abstractNumId w:val="18"/>
  </w:num>
  <w:num w:numId="20">
    <w:abstractNumId w:val="9"/>
  </w:num>
  <w:num w:numId="21">
    <w:abstractNumId w:val="34"/>
  </w:num>
  <w:num w:numId="22">
    <w:abstractNumId w:val="17"/>
  </w:num>
  <w:num w:numId="23">
    <w:abstractNumId w:val="1"/>
  </w:num>
  <w:num w:numId="24">
    <w:abstractNumId w:val="35"/>
  </w:num>
  <w:num w:numId="25">
    <w:abstractNumId w:val="23"/>
  </w:num>
  <w:num w:numId="26">
    <w:abstractNumId w:val="29"/>
  </w:num>
  <w:num w:numId="27">
    <w:abstractNumId w:val="13"/>
  </w:num>
  <w:num w:numId="28">
    <w:abstractNumId w:val="26"/>
  </w:num>
  <w:num w:numId="29">
    <w:abstractNumId w:val="24"/>
  </w:num>
  <w:num w:numId="30">
    <w:abstractNumId w:val="5"/>
  </w:num>
  <w:num w:numId="31">
    <w:abstractNumId w:val="0"/>
  </w:num>
  <w:num w:numId="32">
    <w:abstractNumId w:val="2"/>
  </w:num>
  <w:num w:numId="33">
    <w:abstractNumId w:val="33"/>
  </w:num>
  <w:num w:numId="34">
    <w:abstractNumId w:val="6"/>
  </w:num>
  <w:num w:numId="35">
    <w:abstractNumId w:val="4"/>
  </w:num>
  <w:num w:numId="3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 Oyen">
    <w15:presenceInfo w15:providerId="AD" w15:userId="S-1-5-21-1870657925-3600360098-1699723694-21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36"/>
    <w:rsid w:val="000116F0"/>
    <w:rsid w:val="00041D96"/>
    <w:rsid w:val="00082524"/>
    <w:rsid w:val="000A4182"/>
    <w:rsid w:val="000B0749"/>
    <w:rsid w:val="000B0D18"/>
    <w:rsid w:val="000B1FA4"/>
    <w:rsid w:val="000C373C"/>
    <w:rsid w:val="000E292B"/>
    <w:rsid w:val="000E2BB1"/>
    <w:rsid w:val="000E336C"/>
    <w:rsid w:val="000F5818"/>
    <w:rsid w:val="00150D09"/>
    <w:rsid w:val="00151D27"/>
    <w:rsid w:val="00173BA4"/>
    <w:rsid w:val="001B331B"/>
    <w:rsid w:val="001C407F"/>
    <w:rsid w:val="001E6F7E"/>
    <w:rsid w:val="00214442"/>
    <w:rsid w:val="00222A3D"/>
    <w:rsid w:val="00231604"/>
    <w:rsid w:val="002342E8"/>
    <w:rsid w:val="00254B5F"/>
    <w:rsid w:val="002879A4"/>
    <w:rsid w:val="00291723"/>
    <w:rsid w:val="002A2A2D"/>
    <w:rsid w:val="002B2522"/>
    <w:rsid w:val="002B5C6C"/>
    <w:rsid w:val="002B617E"/>
    <w:rsid w:val="002C57E1"/>
    <w:rsid w:val="002D049F"/>
    <w:rsid w:val="0030709D"/>
    <w:rsid w:val="00315CC7"/>
    <w:rsid w:val="00325631"/>
    <w:rsid w:val="00335372"/>
    <w:rsid w:val="00364D3E"/>
    <w:rsid w:val="00372D47"/>
    <w:rsid w:val="00381C4B"/>
    <w:rsid w:val="00385F37"/>
    <w:rsid w:val="00392BA9"/>
    <w:rsid w:val="003C2283"/>
    <w:rsid w:val="003C550B"/>
    <w:rsid w:val="003E50AC"/>
    <w:rsid w:val="003F4FC0"/>
    <w:rsid w:val="00420A03"/>
    <w:rsid w:val="00423735"/>
    <w:rsid w:val="00435646"/>
    <w:rsid w:val="00436B49"/>
    <w:rsid w:val="00453EDB"/>
    <w:rsid w:val="004560D9"/>
    <w:rsid w:val="00463354"/>
    <w:rsid w:val="004677C7"/>
    <w:rsid w:val="004931DF"/>
    <w:rsid w:val="004A6246"/>
    <w:rsid w:val="004B7931"/>
    <w:rsid w:val="004C72B2"/>
    <w:rsid w:val="004F1A8A"/>
    <w:rsid w:val="00506790"/>
    <w:rsid w:val="00515CEF"/>
    <w:rsid w:val="005163C5"/>
    <w:rsid w:val="00523365"/>
    <w:rsid w:val="00526B33"/>
    <w:rsid w:val="0053335D"/>
    <w:rsid w:val="005551BE"/>
    <w:rsid w:val="00561A9A"/>
    <w:rsid w:val="00586A02"/>
    <w:rsid w:val="00586FEE"/>
    <w:rsid w:val="005A2513"/>
    <w:rsid w:val="005C2F12"/>
    <w:rsid w:val="005C614B"/>
    <w:rsid w:val="005E52E9"/>
    <w:rsid w:val="005F6EAD"/>
    <w:rsid w:val="0060460D"/>
    <w:rsid w:val="00605FF9"/>
    <w:rsid w:val="006114C3"/>
    <w:rsid w:val="00615BC7"/>
    <w:rsid w:val="00632ABF"/>
    <w:rsid w:val="00642B5D"/>
    <w:rsid w:val="00653109"/>
    <w:rsid w:val="006743E1"/>
    <w:rsid w:val="00682DE6"/>
    <w:rsid w:val="0068568D"/>
    <w:rsid w:val="00686446"/>
    <w:rsid w:val="00686700"/>
    <w:rsid w:val="006A4A72"/>
    <w:rsid w:val="006B0C2C"/>
    <w:rsid w:val="00716B78"/>
    <w:rsid w:val="00726EE6"/>
    <w:rsid w:val="00776884"/>
    <w:rsid w:val="00787F86"/>
    <w:rsid w:val="00794B5F"/>
    <w:rsid w:val="007B6C34"/>
    <w:rsid w:val="007E3CF9"/>
    <w:rsid w:val="007E6D89"/>
    <w:rsid w:val="0080401A"/>
    <w:rsid w:val="0081585F"/>
    <w:rsid w:val="008207A7"/>
    <w:rsid w:val="00827AC0"/>
    <w:rsid w:val="008304DA"/>
    <w:rsid w:val="00840D91"/>
    <w:rsid w:val="00856A75"/>
    <w:rsid w:val="00867C38"/>
    <w:rsid w:val="00871028"/>
    <w:rsid w:val="008726CC"/>
    <w:rsid w:val="00873477"/>
    <w:rsid w:val="00873869"/>
    <w:rsid w:val="00875694"/>
    <w:rsid w:val="00877B80"/>
    <w:rsid w:val="008825B0"/>
    <w:rsid w:val="00882A99"/>
    <w:rsid w:val="00884A25"/>
    <w:rsid w:val="008861E1"/>
    <w:rsid w:val="008A1708"/>
    <w:rsid w:val="008A3BF7"/>
    <w:rsid w:val="008A53F2"/>
    <w:rsid w:val="008B3D61"/>
    <w:rsid w:val="008C129C"/>
    <w:rsid w:val="008E0183"/>
    <w:rsid w:val="008F052F"/>
    <w:rsid w:val="008F4172"/>
    <w:rsid w:val="008F51C4"/>
    <w:rsid w:val="00902AD2"/>
    <w:rsid w:val="009139FE"/>
    <w:rsid w:val="00914B00"/>
    <w:rsid w:val="00925633"/>
    <w:rsid w:val="009340AC"/>
    <w:rsid w:val="009566B3"/>
    <w:rsid w:val="00962D97"/>
    <w:rsid w:val="009809FB"/>
    <w:rsid w:val="00A029B6"/>
    <w:rsid w:val="00A06B94"/>
    <w:rsid w:val="00A1413B"/>
    <w:rsid w:val="00A1497D"/>
    <w:rsid w:val="00A16212"/>
    <w:rsid w:val="00A216F9"/>
    <w:rsid w:val="00A326D2"/>
    <w:rsid w:val="00A41C0A"/>
    <w:rsid w:val="00A45D1A"/>
    <w:rsid w:val="00A509D9"/>
    <w:rsid w:val="00A721D6"/>
    <w:rsid w:val="00A74803"/>
    <w:rsid w:val="00A83055"/>
    <w:rsid w:val="00A8412D"/>
    <w:rsid w:val="00AB0304"/>
    <w:rsid w:val="00AB7985"/>
    <w:rsid w:val="00AC3F2C"/>
    <w:rsid w:val="00B45A7C"/>
    <w:rsid w:val="00B5648F"/>
    <w:rsid w:val="00B60BC9"/>
    <w:rsid w:val="00B63A59"/>
    <w:rsid w:val="00B64BE0"/>
    <w:rsid w:val="00B656A8"/>
    <w:rsid w:val="00B75EA5"/>
    <w:rsid w:val="00B8796E"/>
    <w:rsid w:val="00BA7256"/>
    <w:rsid w:val="00BC1CFA"/>
    <w:rsid w:val="00BC2099"/>
    <w:rsid w:val="00BC6DE1"/>
    <w:rsid w:val="00BF3AF3"/>
    <w:rsid w:val="00C04991"/>
    <w:rsid w:val="00C20DB8"/>
    <w:rsid w:val="00C45DB0"/>
    <w:rsid w:val="00C475CD"/>
    <w:rsid w:val="00C867E4"/>
    <w:rsid w:val="00CA43BE"/>
    <w:rsid w:val="00CB0F20"/>
    <w:rsid w:val="00CE211E"/>
    <w:rsid w:val="00CF1F7E"/>
    <w:rsid w:val="00CF48DF"/>
    <w:rsid w:val="00D0386B"/>
    <w:rsid w:val="00D201A6"/>
    <w:rsid w:val="00D21E2E"/>
    <w:rsid w:val="00D37B10"/>
    <w:rsid w:val="00D81600"/>
    <w:rsid w:val="00D81C1C"/>
    <w:rsid w:val="00D95C58"/>
    <w:rsid w:val="00DA1054"/>
    <w:rsid w:val="00DB5997"/>
    <w:rsid w:val="00DE15C4"/>
    <w:rsid w:val="00DE16B9"/>
    <w:rsid w:val="00E041E9"/>
    <w:rsid w:val="00E05FA7"/>
    <w:rsid w:val="00E10111"/>
    <w:rsid w:val="00E12EF4"/>
    <w:rsid w:val="00E17957"/>
    <w:rsid w:val="00E265A3"/>
    <w:rsid w:val="00E7368E"/>
    <w:rsid w:val="00E77E94"/>
    <w:rsid w:val="00E93959"/>
    <w:rsid w:val="00E95129"/>
    <w:rsid w:val="00EA04CE"/>
    <w:rsid w:val="00EC1508"/>
    <w:rsid w:val="00ED04F9"/>
    <w:rsid w:val="00EE15E6"/>
    <w:rsid w:val="00F105CE"/>
    <w:rsid w:val="00F754DF"/>
    <w:rsid w:val="00F8037B"/>
    <w:rsid w:val="00FA4BD7"/>
    <w:rsid w:val="00FC4536"/>
    <w:rsid w:val="00FD255F"/>
    <w:rsid w:val="00FD79EF"/>
    <w:rsid w:val="00FE5BE9"/>
    <w:rsid w:val="00FF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2B"/>
  </w:style>
  <w:style w:type="paragraph" w:styleId="Heading4">
    <w:name w:val="heading 4"/>
    <w:basedOn w:val="Normal"/>
    <w:link w:val="Heading4Char"/>
    <w:uiPriority w:val="9"/>
    <w:qFormat/>
    <w:rsid w:val="00FE5B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0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C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5B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5BE9"/>
    <w:rPr>
      <w:color w:val="0000FF"/>
      <w:u w:val="single"/>
    </w:rPr>
  </w:style>
  <w:style w:type="paragraph" w:customStyle="1" w:styleId="BodyCopy">
    <w:name w:val="Body Copy"/>
    <w:basedOn w:val="Normal"/>
    <w:link w:val="BodyCopyChar"/>
    <w:rsid w:val="000B1FA4"/>
    <w:pPr>
      <w:spacing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CopyChar">
    <w:name w:val="Body Copy Char"/>
    <w:link w:val="BodyCopy"/>
    <w:rsid w:val="000B1FA4"/>
    <w:rPr>
      <w:rFonts w:ascii="Garamond" w:eastAsia="Times New Roman" w:hAnsi="Garamond" w:cs="Times New Roman"/>
      <w:sz w:val="24"/>
      <w:szCs w:val="24"/>
    </w:rPr>
  </w:style>
  <w:style w:type="character" w:styleId="Emphasis">
    <w:name w:val="Emphasis"/>
    <w:uiPriority w:val="20"/>
    <w:qFormat/>
    <w:rsid w:val="000B1FA4"/>
    <w:rPr>
      <w:i/>
      <w:iCs/>
    </w:rPr>
  </w:style>
  <w:style w:type="character" w:customStyle="1" w:styleId="apple-converted-space">
    <w:name w:val="apple-converted-space"/>
    <w:rsid w:val="000B1FA4"/>
  </w:style>
  <w:style w:type="paragraph" w:styleId="BodyText">
    <w:name w:val="Body Text"/>
    <w:basedOn w:val="Normal"/>
    <w:link w:val="BodyTextChar"/>
    <w:rsid w:val="000B1FA4"/>
    <w:pPr>
      <w:spacing w:after="0" w:line="240" w:lineRule="auto"/>
    </w:pPr>
    <w:rPr>
      <w:rFonts w:ascii="Tahoma" w:eastAsia="Times New Roman" w:hAnsi="Tahoma" w:cs="Tahoma"/>
      <w:szCs w:val="20"/>
    </w:rPr>
  </w:style>
  <w:style w:type="character" w:customStyle="1" w:styleId="BodyTextChar">
    <w:name w:val="Body Text Char"/>
    <w:basedOn w:val="DefaultParagraphFont"/>
    <w:link w:val="BodyText"/>
    <w:rsid w:val="000B1FA4"/>
    <w:rPr>
      <w:rFonts w:ascii="Tahoma" w:eastAsia="Times New Roman" w:hAnsi="Tahoma" w:cs="Tahoma"/>
      <w:szCs w:val="20"/>
    </w:rPr>
  </w:style>
  <w:style w:type="paragraph" w:customStyle="1" w:styleId="msolistparagraph0">
    <w:name w:val="msolistparagraph"/>
    <w:basedOn w:val="Normal"/>
    <w:uiPriority w:val="99"/>
    <w:rsid w:val="00CE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F"/>
  </w:style>
  <w:style w:type="paragraph" w:styleId="Footer">
    <w:name w:val="footer"/>
    <w:basedOn w:val="Normal"/>
    <w:link w:val="FooterChar"/>
    <w:uiPriority w:val="99"/>
    <w:unhideWhenUsed/>
    <w:rsid w:val="0081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5F"/>
  </w:style>
  <w:style w:type="paragraph" w:styleId="FootnoteText">
    <w:name w:val="footnote text"/>
    <w:basedOn w:val="Normal"/>
    <w:link w:val="FootnoteTextChar"/>
    <w:uiPriority w:val="99"/>
    <w:semiHidden/>
    <w:unhideWhenUsed/>
    <w:rsid w:val="00E77E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E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7E94"/>
    <w:rPr>
      <w:vertAlign w:val="superscript"/>
    </w:rPr>
  </w:style>
  <w:style w:type="paragraph" w:styleId="Revision">
    <w:name w:val="Revision"/>
    <w:hidden/>
    <w:uiPriority w:val="99"/>
    <w:semiHidden/>
    <w:rsid w:val="00686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E5B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0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C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5B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5BE9"/>
    <w:rPr>
      <w:color w:val="0000FF"/>
      <w:u w:val="single"/>
    </w:rPr>
  </w:style>
  <w:style w:type="paragraph" w:customStyle="1" w:styleId="BodyCopy">
    <w:name w:val="Body Copy"/>
    <w:basedOn w:val="Normal"/>
    <w:link w:val="BodyCopyChar"/>
    <w:rsid w:val="000B1FA4"/>
    <w:pPr>
      <w:spacing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CopyChar">
    <w:name w:val="Body Copy Char"/>
    <w:link w:val="BodyCopy"/>
    <w:rsid w:val="000B1FA4"/>
    <w:rPr>
      <w:rFonts w:ascii="Garamond" w:eastAsia="Times New Roman" w:hAnsi="Garamond" w:cs="Times New Roman"/>
      <w:sz w:val="24"/>
      <w:szCs w:val="24"/>
    </w:rPr>
  </w:style>
  <w:style w:type="character" w:styleId="Emphasis">
    <w:name w:val="Emphasis"/>
    <w:uiPriority w:val="20"/>
    <w:qFormat/>
    <w:rsid w:val="000B1FA4"/>
    <w:rPr>
      <w:i/>
      <w:iCs/>
    </w:rPr>
  </w:style>
  <w:style w:type="character" w:customStyle="1" w:styleId="apple-converted-space">
    <w:name w:val="apple-converted-space"/>
    <w:rsid w:val="000B1FA4"/>
  </w:style>
  <w:style w:type="paragraph" w:styleId="BodyText">
    <w:name w:val="Body Text"/>
    <w:basedOn w:val="Normal"/>
    <w:link w:val="BodyTextChar"/>
    <w:rsid w:val="000B1FA4"/>
    <w:pPr>
      <w:spacing w:after="0" w:line="240" w:lineRule="auto"/>
    </w:pPr>
    <w:rPr>
      <w:rFonts w:ascii="Tahoma" w:eastAsia="Times New Roman" w:hAnsi="Tahoma" w:cs="Tahoma"/>
      <w:szCs w:val="20"/>
    </w:rPr>
  </w:style>
  <w:style w:type="character" w:customStyle="1" w:styleId="BodyTextChar">
    <w:name w:val="Body Text Char"/>
    <w:basedOn w:val="DefaultParagraphFont"/>
    <w:link w:val="BodyText"/>
    <w:rsid w:val="000B1FA4"/>
    <w:rPr>
      <w:rFonts w:ascii="Tahoma" w:eastAsia="Times New Roman" w:hAnsi="Tahoma" w:cs="Tahoma"/>
      <w:szCs w:val="20"/>
    </w:rPr>
  </w:style>
  <w:style w:type="paragraph" w:customStyle="1" w:styleId="msolistparagraph0">
    <w:name w:val="msolistparagraph"/>
    <w:basedOn w:val="Normal"/>
    <w:uiPriority w:val="99"/>
    <w:rsid w:val="00CE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F"/>
  </w:style>
  <w:style w:type="paragraph" w:styleId="Footer">
    <w:name w:val="footer"/>
    <w:basedOn w:val="Normal"/>
    <w:link w:val="FooterChar"/>
    <w:uiPriority w:val="99"/>
    <w:unhideWhenUsed/>
    <w:rsid w:val="0081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5F"/>
  </w:style>
  <w:style w:type="paragraph" w:styleId="FootnoteText">
    <w:name w:val="footnote text"/>
    <w:basedOn w:val="Normal"/>
    <w:link w:val="FootnoteTextChar"/>
    <w:uiPriority w:val="99"/>
    <w:semiHidden/>
    <w:unhideWhenUsed/>
    <w:rsid w:val="00E77E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E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7E94"/>
    <w:rPr>
      <w:vertAlign w:val="superscript"/>
    </w:rPr>
  </w:style>
  <w:style w:type="paragraph" w:styleId="Revision">
    <w:name w:val="Revision"/>
    <w:hidden/>
    <w:uiPriority w:val="99"/>
    <w:semiHidden/>
    <w:rsid w:val="00686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sponline.org/practice-model/ESSA-MTSS-crosswal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E594-8D6B-4D6D-A022-581B8529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Vaillancourt</dc:creator>
  <cp:lastModifiedBy>guymmcbride@gmail.com</cp:lastModifiedBy>
  <cp:revision>2</cp:revision>
  <cp:lastPrinted>2016-01-28T16:27:00Z</cp:lastPrinted>
  <dcterms:created xsi:type="dcterms:W3CDTF">2016-03-03T22:21:00Z</dcterms:created>
  <dcterms:modified xsi:type="dcterms:W3CDTF">2016-03-03T22:21:00Z</dcterms:modified>
</cp:coreProperties>
</file>