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9D" w:rsidRPr="00487F9D" w:rsidRDefault="00487F9D" w:rsidP="004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>SUPREME COURT OF THE UNITED STATES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FOREST GROVE SCHOOL DISTRICT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>. T. A.</w:t>
      </w:r>
      <w:proofErr w:type="gramEnd"/>
    </w:p>
    <w:p w:rsidR="00487F9D" w:rsidRPr="00487F9D" w:rsidRDefault="00487F9D" w:rsidP="00487F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7F9D">
        <w:rPr>
          <w:rFonts w:ascii="Times New Roman" w:eastAsia="Times New Roman" w:hAnsi="Times New Roman" w:cs="Times New Roman"/>
          <w:b/>
          <w:bCs/>
          <w:sz w:val="24"/>
          <w:szCs w:val="24"/>
        </w:rPr>
        <w:t>certiorari</w:t>
      </w:r>
      <w:proofErr w:type="gramEnd"/>
      <w:r w:rsidRPr="00487F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the united states court of appeals for the ninth circuit</w:t>
      </w:r>
    </w:p>
    <w:p w:rsidR="00487F9D" w:rsidRPr="00487F9D" w:rsidRDefault="00487F9D" w:rsidP="004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87F9D" w:rsidRPr="00487F9D" w:rsidRDefault="00487F9D" w:rsidP="004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>No. 08–305.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> 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>Argued April 28, 2009—Decided June 22, 2009</w:t>
      </w:r>
    </w:p>
    <w:p w:rsidR="00487F9D" w:rsidRPr="00487F9D" w:rsidRDefault="00487F9D" w:rsidP="00487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After a private specialist diagnosed respondent with learning disabilities, his parents unilaterally removed him from petitioner public school district (School District), enrolled him in a private academy, and requested an administrative hearing on his eligibility for special-education services under the Individuals with Disabilities Education Act (IDEA), </w:t>
      </w:r>
      <w:hyperlink r:id="rId5" w:tooltip="subref" w:history="1">
        <w:r w:rsidRPr="0048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U. S. C. §1400</w:t>
        </w:r>
      </w:hyperlink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et seq.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The School District found respondent ineligible for such services and declined to offer him an individualized education program (IEP). Concluding that the School District had failed to provide respondent a “free appropriate public education” as required by IDEA, §1412(a)(1)(A), and that respondent’s private-school placement was appropriate, the hearing officer ordered the School District to reimburse his parents for his private-school tuition. The District Court set aside the award, holding that the IDEA Amendments of 1997 (Amendments) categorically bar reimbursement unless a child has “previously received special education or related services under the [school’s] authority.” §1412(a</w:t>
      </w:r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>10)(C)(ii). Reversing, the Ninth Circuit concluded that the Amendments did not diminish the authority of courts to grant reimbursement as “appropriate” relief pursuant to §1415(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2)(C)(iii). See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Comm. of Burlington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Department of Ed. of Mass.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tooltip="subref" w:history="1">
        <w:r w:rsidRPr="0048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471 U. S. 359</w:t>
        </w:r>
      </w:hyperlink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Held: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> IDEA authorizes reimbursement for private special-education services when a public school fails to provide a FAPE and the private-school placement is appropriate, regardless of whether the child previously received special-education services through the public school.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Pp. 6–17.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    (a) This Court held in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Florence County School Dist. Four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Carter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subref" w:history="1">
        <w:r w:rsidRPr="0048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510 U. S. 7</w:t>
        </w:r>
      </w:hyperlink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, that §1415(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)(2)(C)(iii) authorizes courts to reimburse parents for the cost of private-school tuition when a school district fails to provide a child a FAPE and the private-school placement is appropriate. That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Carter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involved the deficiency of a proposed IEP does not distinguish this case, nor does the fact that the children in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Carter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had previously received special-education services; the Court’s decision in those cases depended on the Act’s language and purpose rather than the particular facts involved. Thus, the reasoning of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Carter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applies unless the 1997 Amendments require a different result. Pp. 6–8. 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>    (b) The 1997 Amendments do not impose a categorical bar to reimbursement. The Amendments made no change to the central purpose of IDEA or the text of §1415(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2)(C)(iii). Because Congress is presumed to be aware of, and to adopt, a judicial interpretation of a statute when it reenacts that law without change,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Lorillard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v.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Pons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subref" w:history="1">
        <w:r w:rsidRPr="00487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434 U. S. 575</w:t>
        </w:r>
      </w:hyperlink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, this Court will continue to read §1415(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2)(C)(iii) to authorize reimbursement absent a clear indication that Congress intended to repeal the provision or abrogate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Carter.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The School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District’s argument that §1412(a)(10)(C)(ii) limits reimbursement to children who have previously received public special-education services is unpersuasive for several reasons: It is not supported by IDEA’s text, as the 1997 Amendments do not expressly prohibit reimbursement in this case and the School District offers no evidence that Congress intended to supersede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Carter;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it is at odds with IDEA’s remedial purpose of “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ensur</w:t>
      </w:r>
      <w:proofErr w:type="spellEnd"/>
      <w:r w:rsidRPr="00487F9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] that 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allchildren</w:t>
      </w:r>
      <w:proofErr w:type="spell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with disabilities have available to them a [FAPE] that emphasizes special education … designed to meet their unique needs,” §1400(d)(1)(A); and it would produce a rule bordering on the irrational by providing a remedy when a school offers a child inadequate special-education services but leaving parents remediless when the school unreasonably denies access to such services altogether. Pp. 8–15. 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    (c) The School District’s argument that any conditions on accepting IDEA funds must be stated unambiguously is clearly satisfied here, as States have been on notice at least since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that IDEA authorizes courts to order reimbursement. The School District’s claims that respondent’s reading will impose a heavy financial burden on public schools and encourage parents to enroll their children in private school without first trying to cooperate with public-school authorities are also unpersuasive in light of the restrictions on reimbursement awards identified in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Burlington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and the fact that parents unilaterally change their child’s placement at their own financial risk. </w:t>
      </w:r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See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, e.g.,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Carter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>, 510 U. S., at 15</w:t>
      </w:r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87F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Pp. 15–16. 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>523 F. 3d 1078, affirmed.</w:t>
      </w:r>
    </w:p>
    <w:p w:rsidR="00487F9D" w:rsidRPr="00487F9D" w:rsidRDefault="00487F9D" w:rsidP="00487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    Stevens, J., delivered the opinion of the Court, in which Roberts, C. J., and Kennedy, Ginsburg, </w:t>
      </w:r>
      <w:proofErr w:type="spellStart"/>
      <w:r w:rsidRPr="00487F9D">
        <w:rPr>
          <w:rFonts w:ascii="Times New Roman" w:eastAsia="Times New Roman" w:hAnsi="Times New Roman" w:cs="Times New Roman"/>
          <w:sz w:val="24"/>
          <w:szCs w:val="24"/>
        </w:rPr>
        <w:t>Breyer</w:t>
      </w:r>
      <w:proofErr w:type="spell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, and Alito, </w:t>
      </w:r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JJ.,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joined. Souter, J., filed a dissenting opinion, in which Scalia and Thomas, </w:t>
      </w:r>
      <w:proofErr w:type="gramStart"/>
      <w:r w:rsidRPr="00487F9D">
        <w:rPr>
          <w:rFonts w:ascii="Times New Roman" w:eastAsia="Times New Roman" w:hAnsi="Times New Roman" w:cs="Times New Roman"/>
          <w:sz w:val="24"/>
          <w:szCs w:val="24"/>
        </w:rPr>
        <w:t>JJ.,</w:t>
      </w:r>
      <w:proofErr w:type="gramEnd"/>
      <w:r w:rsidRPr="00487F9D">
        <w:rPr>
          <w:rFonts w:ascii="Times New Roman" w:eastAsia="Times New Roman" w:hAnsi="Times New Roman" w:cs="Times New Roman"/>
          <w:sz w:val="24"/>
          <w:szCs w:val="24"/>
        </w:rPr>
        <w:t xml:space="preserve"> joined.</w:t>
      </w:r>
    </w:p>
    <w:p w:rsidR="00DB27AB" w:rsidRDefault="00DB27AB"/>
    <w:sectPr w:rsidR="00DB27AB" w:rsidSect="00DB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C64"/>
    <w:multiLevelType w:val="multilevel"/>
    <w:tmpl w:val="A624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51300"/>
    <w:multiLevelType w:val="multilevel"/>
    <w:tmpl w:val="F928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7F9D"/>
    <w:rsid w:val="00487F9D"/>
    <w:rsid w:val="00D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B"/>
  </w:style>
  <w:style w:type="paragraph" w:styleId="Heading2">
    <w:name w:val="heading 2"/>
    <w:basedOn w:val="Normal"/>
    <w:link w:val="Heading2Char"/>
    <w:uiPriority w:val="9"/>
    <w:qFormat/>
    <w:rsid w:val="0048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87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7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87F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pcentered">
    <w:name w:val="opcentered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7F9D"/>
    <w:rPr>
      <w:color w:val="0000FF"/>
      <w:u w:val="single"/>
    </w:rPr>
  </w:style>
  <w:style w:type="paragraph" w:customStyle="1" w:styleId="sylcte">
    <w:name w:val="sylcte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ctf">
    <w:name w:val="sylctf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lctg">
    <w:name w:val="sylctg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487F9D"/>
  </w:style>
  <w:style w:type="character" w:customStyle="1" w:styleId="ata11y">
    <w:name w:val="at_a11y"/>
    <w:basedOn w:val="DefaultParagraphFont"/>
    <w:rsid w:val="00487F9D"/>
  </w:style>
  <w:style w:type="paragraph" w:customStyle="1" w:styleId="support">
    <w:name w:val="support"/>
    <w:basedOn w:val="Normal"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03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1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2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supct-cgi/get-us-cite?434+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w.cornell.edu/supct-cgi/get-us-cite?510+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.cornell.edu/supct-cgi/get-us-cite?471+359" TargetMode="External"/><Relationship Id="rId5" Type="http://schemas.openxmlformats.org/officeDocument/2006/relationships/hyperlink" Target="http://www.law.cornell.edu/supct-cgi/get-usc-cite/20/14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4535</Characters>
  <Application>Microsoft Office Word</Application>
  <DocSecurity>0</DocSecurity>
  <Lines>37</Lines>
  <Paragraphs>10</Paragraphs>
  <ScaleCrop>false</ScaleCrop>
  <Company>Toshiba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guymmcbride@gmail.com</dc:creator>
  <cp:lastModifiedBy>guymmcbride@gmail.com</cp:lastModifiedBy>
  <cp:revision>1</cp:revision>
  <dcterms:created xsi:type="dcterms:W3CDTF">2014-04-16T00:40:00Z</dcterms:created>
  <dcterms:modified xsi:type="dcterms:W3CDTF">2014-04-16T00:43:00Z</dcterms:modified>
</cp:coreProperties>
</file>